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3A" w:rsidRPr="00B63261" w:rsidRDefault="006E223A" w:rsidP="006E223A">
      <w:pPr>
        <w:pStyle w:val="Default"/>
        <w:jc w:val="center"/>
        <w:rPr>
          <w:sz w:val="22"/>
          <w:szCs w:val="22"/>
          <w:lang w:val="lv-LV"/>
        </w:rPr>
      </w:pPr>
      <w:bookmarkStart w:id="0" w:name="_GoBack"/>
      <w:bookmarkEnd w:id="0"/>
      <w:r w:rsidRPr="00B63261">
        <w:rPr>
          <w:b/>
          <w:bCs/>
          <w:sz w:val="22"/>
          <w:szCs w:val="22"/>
          <w:lang w:val="lv-LV"/>
        </w:rPr>
        <w:t>LIETOŠANAS INSTRUKCIJA: INFORMĀCIJA ZĀĻU LIETOTĀJAM</w:t>
      </w:r>
    </w:p>
    <w:p w:rsidR="006E223A" w:rsidRPr="00B63261" w:rsidRDefault="006E223A" w:rsidP="006E223A">
      <w:pPr>
        <w:pStyle w:val="Default"/>
        <w:jc w:val="center"/>
        <w:rPr>
          <w:b/>
          <w:bCs/>
          <w:sz w:val="22"/>
          <w:szCs w:val="22"/>
          <w:lang w:val="lv-LV"/>
        </w:rPr>
      </w:pPr>
    </w:p>
    <w:p w:rsidR="006E223A" w:rsidRPr="00B63261" w:rsidRDefault="006E223A" w:rsidP="006E223A">
      <w:pPr>
        <w:pStyle w:val="Default"/>
        <w:jc w:val="center"/>
        <w:rPr>
          <w:sz w:val="22"/>
          <w:szCs w:val="22"/>
          <w:lang w:val="lv-LV"/>
        </w:rPr>
      </w:pPr>
      <w:r w:rsidRPr="00B63261">
        <w:rPr>
          <w:b/>
          <w:bCs/>
          <w:sz w:val="22"/>
          <w:szCs w:val="22"/>
          <w:lang w:val="lv-LV"/>
        </w:rPr>
        <w:t>Guttalax</w:t>
      </w:r>
      <w:r w:rsidRPr="00B63261">
        <w:rPr>
          <w:sz w:val="22"/>
          <w:szCs w:val="22"/>
          <w:lang w:val="lv-LV"/>
        </w:rPr>
        <w:t xml:space="preserve">® </w:t>
      </w:r>
      <w:r w:rsidRPr="00B63261">
        <w:rPr>
          <w:b/>
          <w:bCs/>
          <w:sz w:val="22"/>
          <w:szCs w:val="22"/>
          <w:lang w:val="lv-LV"/>
        </w:rPr>
        <w:t>7,5 mg/ml pilieni iekšķīgai lietošanai</w:t>
      </w:r>
      <w:r w:rsidRPr="00B63261">
        <w:rPr>
          <w:sz w:val="22"/>
          <w:szCs w:val="22"/>
          <w:lang w:val="lv-LV"/>
        </w:rPr>
        <w:t xml:space="preserve">, </w:t>
      </w:r>
      <w:r w:rsidRPr="00B63261">
        <w:rPr>
          <w:b/>
          <w:bCs/>
          <w:sz w:val="22"/>
          <w:szCs w:val="22"/>
          <w:lang w:val="lv-LV"/>
        </w:rPr>
        <w:t>šķīdums</w:t>
      </w:r>
    </w:p>
    <w:p w:rsidR="006E223A" w:rsidRPr="00B63261" w:rsidRDefault="006E223A" w:rsidP="006E223A">
      <w:pPr>
        <w:pStyle w:val="Default"/>
        <w:jc w:val="center"/>
        <w:rPr>
          <w:sz w:val="22"/>
          <w:szCs w:val="22"/>
          <w:lang w:val="lv-LV"/>
        </w:rPr>
      </w:pPr>
      <w:r w:rsidRPr="00B63261">
        <w:rPr>
          <w:i/>
          <w:iCs/>
          <w:sz w:val="22"/>
          <w:szCs w:val="22"/>
          <w:lang w:val="lv-LV"/>
        </w:rPr>
        <w:t>Natrii picosulfas</w:t>
      </w:r>
    </w:p>
    <w:p w:rsidR="006E223A" w:rsidRPr="00B63261" w:rsidRDefault="006E223A" w:rsidP="006E223A">
      <w:pPr>
        <w:pStyle w:val="Default"/>
        <w:jc w:val="both"/>
        <w:rPr>
          <w:b/>
          <w:bCs/>
          <w:sz w:val="16"/>
          <w:szCs w:val="16"/>
          <w:lang w:val="lv-LV"/>
        </w:rPr>
      </w:pPr>
    </w:p>
    <w:p w:rsidR="006E223A" w:rsidRPr="00B63261" w:rsidRDefault="006E223A" w:rsidP="006E223A">
      <w:pPr>
        <w:pStyle w:val="Default"/>
        <w:jc w:val="both"/>
        <w:rPr>
          <w:b/>
          <w:bCs/>
          <w:sz w:val="16"/>
          <w:szCs w:val="16"/>
          <w:lang w:val="lv-LV"/>
        </w:rPr>
      </w:pPr>
    </w:p>
    <w:p w:rsidR="006E223A" w:rsidRPr="004B3AF9" w:rsidRDefault="006E223A" w:rsidP="004B3AF9">
      <w:pPr>
        <w:spacing w:after="0" w:line="240" w:lineRule="auto"/>
        <w:ind w:left="567" w:hanging="567"/>
        <w:rPr>
          <w:rFonts w:ascii="Times New Roman" w:hAnsi="Times New Roman"/>
          <w:b/>
          <w:noProof/>
          <w:lang w:val="lv-LV"/>
        </w:rPr>
      </w:pPr>
      <w:r w:rsidRPr="004B3AF9">
        <w:rPr>
          <w:rFonts w:ascii="Times New Roman" w:hAnsi="Times New Roman"/>
          <w:b/>
          <w:noProof/>
          <w:lang w:val="lv-LV"/>
        </w:rPr>
        <w:t>Pirms šo zāļu lietošanas uzmanīgi izlasiet visu instrukciju, jo tā satur Jums svarīgu informāciju.</w:t>
      </w:r>
    </w:p>
    <w:p w:rsidR="00B63261" w:rsidRPr="004B3AF9" w:rsidRDefault="00B63261" w:rsidP="004B3AF9">
      <w:pPr>
        <w:spacing w:after="0" w:line="240" w:lineRule="auto"/>
        <w:rPr>
          <w:rFonts w:ascii="Times New Roman" w:hAnsi="Times New Roman"/>
          <w:noProof/>
          <w:lang w:val="lv-LV"/>
        </w:rPr>
      </w:pPr>
      <w:r w:rsidRPr="004B3AF9">
        <w:rPr>
          <w:rFonts w:ascii="Times New Roman" w:hAnsi="Times New Roman"/>
          <w:noProof/>
          <w:lang w:val="lv-LV"/>
        </w:rPr>
        <w:t>Vienmēr lietojiet šīs zāles tieši tā, kā aprakstīts šajā instrukcijā, vai arī tā, kā to noteicis ārsts vai farmaceits.</w:t>
      </w:r>
    </w:p>
    <w:p w:rsidR="00B63261" w:rsidRPr="004B3AF9" w:rsidRDefault="00B63261" w:rsidP="004B3AF9">
      <w:pPr>
        <w:spacing w:after="0" w:line="240" w:lineRule="auto"/>
        <w:ind w:left="567" w:hanging="567"/>
        <w:rPr>
          <w:rFonts w:ascii="Times New Roman" w:hAnsi="Times New Roman"/>
          <w:noProof/>
          <w:lang w:val="lv-LV"/>
        </w:rPr>
      </w:pPr>
      <w:r w:rsidRPr="004B3AF9">
        <w:rPr>
          <w:rFonts w:ascii="Times New Roman" w:hAnsi="Times New Roman"/>
          <w:noProof/>
          <w:lang w:val="lv-LV"/>
        </w:rPr>
        <w:t>-</w:t>
      </w:r>
      <w:r w:rsidRPr="004B3AF9">
        <w:rPr>
          <w:rFonts w:ascii="Times New Roman" w:hAnsi="Times New Roman"/>
          <w:noProof/>
          <w:lang w:val="lv-LV"/>
        </w:rPr>
        <w:tab/>
        <w:t>Saglabājiet šo instrukciju! Iespējams, ka vēlāk to vajadzēs pārlasīt.</w:t>
      </w:r>
    </w:p>
    <w:p w:rsidR="00B63261" w:rsidRPr="004B3AF9" w:rsidRDefault="00B63261" w:rsidP="004B3AF9">
      <w:pPr>
        <w:spacing w:after="0" w:line="240" w:lineRule="auto"/>
        <w:ind w:left="567" w:hanging="567"/>
        <w:rPr>
          <w:rFonts w:ascii="Times New Roman" w:hAnsi="Times New Roman"/>
          <w:noProof/>
          <w:lang w:val="lv-LV"/>
        </w:rPr>
      </w:pPr>
      <w:r w:rsidRPr="004B3AF9">
        <w:rPr>
          <w:rFonts w:ascii="Times New Roman" w:hAnsi="Times New Roman"/>
          <w:noProof/>
          <w:lang w:val="lv-LV"/>
        </w:rPr>
        <w:t>-</w:t>
      </w:r>
      <w:r w:rsidRPr="004B3AF9">
        <w:rPr>
          <w:rFonts w:ascii="Times New Roman" w:hAnsi="Times New Roman"/>
          <w:noProof/>
          <w:lang w:val="lv-LV"/>
        </w:rPr>
        <w:tab/>
        <w:t>Ja Jums nepieciešama papildus informācija vai padoms, vaicājiet farmaceitam.</w:t>
      </w:r>
    </w:p>
    <w:p w:rsidR="00B63261" w:rsidRPr="004B3AF9" w:rsidRDefault="00B63261" w:rsidP="004B3AF9">
      <w:pPr>
        <w:spacing w:after="0" w:line="240" w:lineRule="auto"/>
        <w:ind w:left="567" w:hanging="567"/>
        <w:rPr>
          <w:rFonts w:ascii="Times New Roman" w:hAnsi="Times New Roman"/>
          <w:noProof/>
          <w:lang w:val="lv-LV"/>
        </w:rPr>
      </w:pPr>
      <w:r w:rsidRPr="004B3AF9">
        <w:rPr>
          <w:rFonts w:ascii="Times New Roman" w:hAnsi="Times New Roman"/>
          <w:noProof/>
          <w:lang w:val="lv-LV"/>
        </w:rPr>
        <w:t>-</w:t>
      </w:r>
      <w:r w:rsidRPr="004B3AF9">
        <w:rPr>
          <w:rFonts w:ascii="Times New Roman" w:hAnsi="Times New Roman"/>
          <w:noProof/>
          <w:lang w:val="lv-LV"/>
        </w:rPr>
        <w:tab/>
        <w:t xml:space="preserve">Ja Jums rodas jebkādas blakusparādības, konsultējieties ar ārstu vai farmaceitu. Tas attiecas arī uz iespējamām blakusparādībām, kas nav minētas šajā instrukcijā. Skatīt 4. punktu. </w:t>
      </w:r>
    </w:p>
    <w:p w:rsidR="00B63261" w:rsidRPr="004B3AF9" w:rsidRDefault="00B63261" w:rsidP="004B3AF9">
      <w:pPr>
        <w:numPr>
          <w:ilvl w:val="12"/>
          <w:numId w:val="0"/>
        </w:numPr>
        <w:spacing w:after="0" w:line="240" w:lineRule="auto"/>
        <w:ind w:left="567" w:hanging="567"/>
        <w:rPr>
          <w:rFonts w:ascii="Times New Roman" w:hAnsi="Times New Roman"/>
          <w:noProof/>
          <w:lang w:val="lv-LV"/>
        </w:rPr>
      </w:pPr>
      <w:r w:rsidRPr="004B3AF9">
        <w:rPr>
          <w:rFonts w:ascii="Times New Roman" w:hAnsi="Times New Roman"/>
          <w:noProof/>
          <w:lang w:val="lv-LV"/>
        </w:rPr>
        <w:t>-</w:t>
      </w:r>
      <w:r w:rsidRPr="004B3AF9">
        <w:rPr>
          <w:rFonts w:ascii="Times New Roman" w:hAnsi="Times New Roman"/>
          <w:noProof/>
          <w:lang w:val="lv-LV"/>
        </w:rPr>
        <w:tab/>
        <w:t>Ja Jūsu veselības stāvoklis pasliktinās vai neuzlabojas, Jums jāsazinās ar savu ārstu.</w:t>
      </w:r>
    </w:p>
    <w:p w:rsidR="006E223A" w:rsidRPr="004B3AF9" w:rsidRDefault="006E223A" w:rsidP="004B3AF9">
      <w:pPr>
        <w:pStyle w:val="Default"/>
        <w:jc w:val="both"/>
        <w:rPr>
          <w:b/>
          <w:bCs/>
          <w:sz w:val="16"/>
          <w:szCs w:val="16"/>
          <w:lang w:val="lv-LV"/>
        </w:rPr>
      </w:pPr>
    </w:p>
    <w:p w:rsidR="006E223A" w:rsidRPr="004B3AF9" w:rsidRDefault="006E223A" w:rsidP="006E223A">
      <w:pPr>
        <w:pStyle w:val="Default"/>
        <w:jc w:val="both"/>
        <w:rPr>
          <w:sz w:val="22"/>
          <w:szCs w:val="22"/>
          <w:lang w:val="lv-LV"/>
        </w:rPr>
      </w:pPr>
      <w:r w:rsidRPr="004B3AF9">
        <w:rPr>
          <w:b/>
          <w:bCs/>
          <w:sz w:val="22"/>
          <w:szCs w:val="22"/>
          <w:lang w:val="lv-LV"/>
        </w:rPr>
        <w:t xml:space="preserve">Šajā instrukcijā varat uzzināt: </w:t>
      </w:r>
    </w:p>
    <w:p w:rsidR="00B63261" w:rsidRPr="004B3AF9" w:rsidRDefault="00B63261" w:rsidP="004B3AF9">
      <w:pPr>
        <w:numPr>
          <w:ilvl w:val="12"/>
          <w:numId w:val="0"/>
        </w:numPr>
        <w:spacing w:after="0" w:line="240" w:lineRule="auto"/>
        <w:ind w:left="567" w:hanging="567"/>
        <w:rPr>
          <w:rFonts w:ascii="Times New Roman" w:hAnsi="Times New Roman"/>
          <w:noProof/>
          <w:lang w:val="lv-LV"/>
        </w:rPr>
      </w:pPr>
      <w:r w:rsidRPr="004B3AF9">
        <w:rPr>
          <w:rFonts w:ascii="Times New Roman" w:hAnsi="Times New Roman"/>
          <w:noProof/>
          <w:lang w:val="lv-LV"/>
        </w:rPr>
        <w:t>1.</w:t>
      </w:r>
      <w:r w:rsidRPr="004B3AF9">
        <w:rPr>
          <w:rFonts w:ascii="Times New Roman" w:hAnsi="Times New Roman"/>
          <w:noProof/>
          <w:lang w:val="lv-LV"/>
        </w:rPr>
        <w:tab/>
        <w:t xml:space="preserve">Kas ir </w:t>
      </w:r>
      <w:r w:rsidRPr="004B3AF9">
        <w:rPr>
          <w:rFonts w:ascii="Times New Roman" w:hAnsi="Times New Roman"/>
          <w:lang w:val="lv-LV"/>
        </w:rPr>
        <w:t xml:space="preserve">GUTTALAX </w:t>
      </w:r>
      <w:r w:rsidRPr="004B3AF9">
        <w:rPr>
          <w:rFonts w:ascii="Times New Roman" w:hAnsi="Times New Roman"/>
          <w:noProof/>
          <w:lang w:val="lv-LV"/>
        </w:rPr>
        <w:t>un kādam nolūkam to lieto</w:t>
      </w:r>
    </w:p>
    <w:p w:rsidR="00B63261" w:rsidRPr="004B3AF9" w:rsidRDefault="00B63261" w:rsidP="004B3AF9">
      <w:pPr>
        <w:spacing w:after="0" w:line="240" w:lineRule="auto"/>
        <w:ind w:left="567" w:hanging="567"/>
        <w:rPr>
          <w:rFonts w:ascii="Times New Roman" w:hAnsi="Times New Roman"/>
          <w:noProof/>
          <w:lang w:val="lv-LV"/>
        </w:rPr>
      </w:pPr>
      <w:r w:rsidRPr="004B3AF9">
        <w:rPr>
          <w:rFonts w:ascii="Times New Roman" w:hAnsi="Times New Roman"/>
          <w:noProof/>
          <w:lang w:val="lv-LV"/>
        </w:rPr>
        <w:t>2.</w:t>
      </w:r>
      <w:r w:rsidRPr="004B3AF9">
        <w:rPr>
          <w:rFonts w:ascii="Times New Roman" w:hAnsi="Times New Roman"/>
          <w:noProof/>
          <w:lang w:val="lv-LV"/>
        </w:rPr>
        <w:tab/>
        <w:t xml:space="preserve">Kas Jums jāzina pirms </w:t>
      </w:r>
      <w:r w:rsidRPr="004B3AF9">
        <w:rPr>
          <w:rFonts w:ascii="Times New Roman" w:hAnsi="Times New Roman"/>
          <w:lang w:val="lv-LV"/>
        </w:rPr>
        <w:t xml:space="preserve">GUTTALAX </w:t>
      </w:r>
      <w:r w:rsidRPr="004B3AF9">
        <w:rPr>
          <w:rFonts w:ascii="Times New Roman" w:hAnsi="Times New Roman"/>
          <w:noProof/>
          <w:lang w:val="lv-LV"/>
        </w:rPr>
        <w:t>lietošanas</w:t>
      </w:r>
    </w:p>
    <w:p w:rsidR="00B63261" w:rsidRPr="004B3AF9" w:rsidRDefault="00B63261" w:rsidP="004B3AF9">
      <w:pPr>
        <w:spacing w:after="0" w:line="240" w:lineRule="auto"/>
        <w:ind w:left="567" w:hanging="567"/>
        <w:rPr>
          <w:rFonts w:ascii="Times New Roman" w:hAnsi="Times New Roman"/>
          <w:noProof/>
          <w:lang w:val="lv-LV"/>
        </w:rPr>
      </w:pPr>
      <w:r w:rsidRPr="004B3AF9">
        <w:rPr>
          <w:rFonts w:ascii="Times New Roman" w:hAnsi="Times New Roman"/>
          <w:noProof/>
          <w:lang w:val="lv-LV"/>
        </w:rPr>
        <w:t>3.</w:t>
      </w:r>
      <w:r w:rsidRPr="004B3AF9">
        <w:rPr>
          <w:rFonts w:ascii="Times New Roman" w:hAnsi="Times New Roman"/>
          <w:noProof/>
          <w:lang w:val="lv-LV"/>
        </w:rPr>
        <w:tab/>
        <w:t xml:space="preserve">Kā lietot </w:t>
      </w:r>
      <w:r w:rsidRPr="004B3AF9">
        <w:rPr>
          <w:rFonts w:ascii="Times New Roman" w:hAnsi="Times New Roman"/>
          <w:lang w:val="lv-LV"/>
        </w:rPr>
        <w:t xml:space="preserve">GUTTALAX </w:t>
      </w:r>
    </w:p>
    <w:p w:rsidR="00B63261" w:rsidRPr="004B3AF9" w:rsidRDefault="00B63261" w:rsidP="004B3AF9">
      <w:pPr>
        <w:spacing w:after="0" w:line="240" w:lineRule="auto"/>
        <w:ind w:left="567" w:hanging="567"/>
        <w:rPr>
          <w:rFonts w:ascii="Times New Roman" w:hAnsi="Times New Roman"/>
          <w:noProof/>
          <w:lang w:val="lv-LV"/>
        </w:rPr>
      </w:pPr>
      <w:r w:rsidRPr="004B3AF9">
        <w:rPr>
          <w:rFonts w:ascii="Times New Roman" w:hAnsi="Times New Roman"/>
          <w:noProof/>
          <w:lang w:val="lv-LV"/>
        </w:rPr>
        <w:t>4.</w:t>
      </w:r>
      <w:r w:rsidRPr="004B3AF9">
        <w:rPr>
          <w:rFonts w:ascii="Times New Roman" w:hAnsi="Times New Roman"/>
          <w:noProof/>
          <w:lang w:val="lv-LV"/>
        </w:rPr>
        <w:tab/>
        <w:t>Iespējamās blakusparādības</w:t>
      </w:r>
    </w:p>
    <w:p w:rsidR="00B63261" w:rsidRPr="004B3AF9" w:rsidRDefault="00B63261" w:rsidP="004B3AF9">
      <w:pPr>
        <w:spacing w:after="0" w:line="240" w:lineRule="auto"/>
        <w:ind w:left="567" w:hanging="567"/>
        <w:rPr>
          <w:rFonts w:ascii="Times New Roman" w:hAnsi="Times New Roman"/>
          <w:noProof/>
          <w:lang w:val="lv-LV"/>
        </w:rPr>
      </w:pPr>
      <w:r w:rsidRPr="004B3AF9">
        <w:rPr>
          <w:rFonts w:ascii="Times New Roman" w:hAnsi="Times New Roman"/>
          <w:noProof/>
          <w:lang w:val="lv-LV"/>
        </w:rPr>
        <w:t>5.</w:t>
      </w:r>
      <w:r w:rsidRPr="004B3AF9">
        <w:rPr>
          <w:rFonts w:ascii="Times New Roman" w:hAnsi="Times New Roman"/>
          <w:noProof/>
          <w:lang w:val="lv-LV"/>
        </w:rPr>
        <w:tab/>
        <w:t xml:space="preserve">Kā uzglabāt </w:t>
      </w:r>
      <w:r w:rsidRPr="004B3AF9">
        <w:rPr>
          <w:rFonts w:ascii="Times New Roman" w:hAnsi="Times New Roman"/>
          <w:lang w:val="lv-LV"/>
        </w:rPr>
        <w:t xml:space="preserve">GUTTALAX </w:t>
      </w:r>
    </w:p>
    <w:p w:rsidR="00B63261" w:rsidRPr="004B3AF9" w:rsidRDefault="00B63261" w:rsidP="004B3AF9">
      <w:pPr>
        <w:spacing w:after="0" w:line="240" w:lineRule="auto"/>
        <w:ind w:left="567" w:hanging="567"/>
        <w:rPr>
          <w:rFonts w:ascii="Times New Roman" w:hAnsi="Times New Roman"/>
          <w:noProof/>
          <w:lang w:val="lv-LV"/>
        </w:rPr>
      </w:pPr>
      <w:r w:rsidRPr="004B3AF9">
        <w:rPr>
          <w:rFonts w:ascii="Times New Roman" w:hAnsi="Times New Roman"/>
          <w:noProof/>
          <w:lang w:val="lv-LV"/>
        </w:rPr>
        <w:t>6.</w:t>
      </w:r>
      <w:r w:rsidRPr="004B3AF9">
        <w:rPr>
          <w:rFonts w:ascii="Times New Roman" w:hAnsi="Times New Roman"/>
          <w:noProof/>
          <w:lang w:val="lv-LV"/>
        </w:rPr>
        <w:tab/>
        <w:t>Iepakojuma saturs un cita informācija</w:t>
      </w:r>
    </w:p>
    <w:p w:rsidR="006E223A" w:rsidRPr="004B3AF9" w:rsidRDefault="006E223A" w:rsidP="004B3AF9">
      <w:pPr>
        <w:pStyle w:val="Default"/>
        <w:jc w:val="both"/>
        <w:rPr>
          <w:b/>
          <w:bCs/>
          <w:sz w:val="16"/>
          <w:szCs w:val="16"/>
          <w:lang w:val="lv-LV"/>
        </w:rPr>
      </w:pPr>
    </w:p>
    <w:p w:rsidR="006E223A" w:rsidRPr="004B3AF9" w:rsidRDefault="006E223A" w:rsidP="006E223A">
      <w:pPr>
        <w:pStyle w:val="Default"/>
        <w:numPr>
          <w:ilvl w:val="0"/>
          <w:numId w:val="2"/>
        </w:numPr>
        <w:jc w:val="both"/>
        <w:rPr>
          <w:b/>
          <w:bCs/>
          <w:sz w:val="22"/>
          <w:szCs w:val="22"/>
          <w:lang w:val="lv-LV"/>
        </w:rPr>
      </w:pPr>
      <w:r w:rsidRPr="004B3AF9">
        <w:rPr>
          <w:b/>
          <w:bCs/>
          <w:sz w:val="22"/>
          <w:szCs w:val="22"/>
          <w:lang w:val="lv-LV"/>
        </w:rPr>
        <w:t xml:space="preserve">KAS IR GUTTALAX UN KĀDAM NOLŪKAM TO LIETO </w:t>
      </w:r>
    </w:p>
    <w:p w:rsidR="006E223A" w:rsidRPr="004B3AF9" w:rsidRDefault="006E223A" w:rsidP="006E223A">
      <w:pPr>
        <w:pStyle w:val="Default"/>
        <w:ind w:left="360"/>
        <w:jc w:val="both"/>
        <w:rPr>
          <w:sz w:val="16"/>
          <w:szCs w:val="16"/>
          <w:lang w:val="lv-LV"/>
        </w:rPr>
      </w:pPr>
    </w:p>
    <w:p w:rsidR="00B63261" w:rsidRPr="004B3AF9" w:rsidRDefault="00B63261" w:rsidP="00B63261">
      <w:pPr>
        <w:rPr>
          <w:rFonts w:ascii="Times New Roman" w:hAnsi="Times New Roman"/>
          <w:lang w:val="lv-LV"/>
        </w:rPr>
      </w:pPr>
      <w:r w:rsidRPr="004B3AF9">
        <w:rPr>
          <w:rFonts w:ascii="Times New Roman" w:hAnsi="Times New Roman"/>
          <w:lang w:val="lv-LV"/>
        </w:rPr>
        <w:t>GUTTALAX ir vietējas darbības vēdera izeju veicinošs līdzeklis, kurš stimulē resnās zarnas darbību un mīkstina vēdera izeju.</w:t>
      </w:r>
    </w:p>
    <w:p w:rsidR="00B63261" w:rsidRPr="004B3AF9" w:rsidRDefault="00B63261" w:rsidP="004B3AF9">
      <w:pPr>
        <w:pStyle w:val="BodyText"/>
        <w:spacing w:line="240" w:lineRule="auto"/>
        <w:rPr>
          <w:sz w:val="22"/>
          <w:szCs w:val="22"/>
          <w:lang w:val="lv-LV"/>
        </w:rPr>
      </w:pPr>
      <w:r w:rsidRPr="004B3AF9">
        <w:rPr>
          <w:sz w:val="22"/>
          <w:szCs w:val="22"/>
          <w:lang w:val="lv-LV"/>
        </w:rPr>
        <w:t xml:space="preserve">Kā laksatīvs līdzeklis ar zarnu iedarbību, GUTTALAX specifiski stimulē kuņģa-zarnu trakta zemāko daļu (resno zarnu) iztīrīšanos dabiskā veidā. Tādēļ, GUTTALAX neietekmē gremošanu vai kaloriju un vērtīgu uzturvielu uzsūkšanos tievajās zarnās. </w:t>
      </w:r>
    </w:p>
    <w:p w:rsidR="004B3AF9" w:rsidRPr="004B3AF9" w:rsidRDefault="004B3AF9" w:rsidP="004B3AF9">
      <w:pPr>
        <w:numPr>
          <w:ilvl w:val="12"/>
          <w:numId w:val="0"/>
        </w:numPr>
        <w:spacing w:after="0" w:line="240" w:lineRule="auto"/>
        <w:rPr>
          <w:rFonts w:ascii="Times New Roman" w:hAnsi="Times New Roman"/>
          <w:noProof/>
          <w:sz w:val="16"/>
          <w:szCs w:val="16"/>
          <w:lang w:val="lv-LV"/>
        </w:rPr>
      </w:pPr>
    </w:p>
    <w:p w:rsidR="00B63261" w:rsidRPr="004B3AF9" w:rsidRDefault="00B63261" w:rsidP="004B3AF9">
      <w:pPr>
        <w:numPr>
          <w:ilvl w:val="12"/>
          <w:numId w:val="0"/>
        </w:numPr>
        <w:spacing w:after="0" w:line="240" w:lineRule="auto"/>
        <w:rPr>
          <w:rFonts w:ascii="Times New Roman" w:hAnsi="Times New Roman"/>
          <w:noProof/>
          <w:lang w:val="lv-LV"/>
        </w:rPr>
      </w:pPr>
      <w:r w:rsidRPr="004B3AF9">
        <w:rPr>
          <w:rFonts w:ascii="Times New Roman" w:hAnsi="Times New Roman"/>
          <w:noProof/>
          <w:lang w:val="lv-LV"/>
        </w:rPr>
        <w:t>GUTTALAX lieto:</w:t>
      </w:r>
    </w:p>
    <w:p w:rsidR="00B63261" w:rsidRPr="004B3AF9" w:rsidRDefault="00B63261" w:rsidP="004B3AF9">
      <w:pPr>
        <w:numPr>
          <w:ilvl w:val="0"/>
          <w:numId w:val="8"/>
        </w:numPr>
        <w:spacing w:after="0" w:line="240" w:lineRule="auto"/>
        <w:rPr>
          <w:rFonts w:ascii="Times New Roman" w:hAnsi="Times New Roman"/>
          <w:lang w:val="lv-LV"/>
        </w:rPr>
      </w:pPr>
      <w:r w:rsidRPr="004B3AF9">
        <w:rPr>
          <w:rFonts w:ascii="Times New Roman" w:hAnsi="Times New Roman"/>
          <w:lang w:val="lv-LV"/>
        </w:rPr>
        <w:t>aizcietējumu gadījumos,</w:t>
      </w:r>
    </w:p>
    <w:p w:rsidR="00B63261" w:rsidRPr="004B3AF9" w:rsidRDefault="00B63261" w:rsidP="00B63261">
      <w:pPr>
        <w:numPr>
          <w:ilvl w:val="0"/>
          <w:numId w:val="8"/>
        </w:numPr>
        <w:spacing w:after="0" w:line="240" w:lineRule="auto"/>
        <w:rPr>
          <w:rFonts w:ascii="Times New Roman" w:hAnsi="Times New Roman"/>
          <w:noProof/>
          <w:lang w:val="lv-LV"/>
        </w:rPr>
      </w:pPr>
      <w:r w:rsidRPr="004B3AF9">
        <w:rPr>
          <w:rFonts w:ascii="Times New Roman" w:hAnsi="Times New Roman"/>
          <w:lang w:val="lv-LV"/>
        </w:rPr>
        <w:t>situācijās, kad nepieciešams atvieglot vēdera izeju.</w:t>
      </w:r>
    </w:p>
    <w:p w:rsidR="006E223A" w:rsidRPr="004B3AF9" w:rsidRDefault="006E223A" w:rsidP="006E223A">
      <w:pPr>
        <w:pStyle w:val="Default"/>
        <w:jc w:val="both"/>
        <w:rPr>
          <w:sz w:val="16"/>
          <w:szCs w:val="16"/>
          <w:lang w:val="lv-LV"/>
        </w:rPr>
      </w:pPr>
    </w:p>
    <w:p w:rsidR="006E223A" w:rsidRPr="004B3AF9" w:rsidRDefault="006E223A" w:rsidP="006E223A">
      <w:pPr>
        <w:pStyle w:val="Default"/>
        <w:numPr>
          <w:ilvl w:val="0"/>
          <w:numId w:val="2"/>
        </w:numPr>
        <w:jc w:val="both"/>
        <w:rPr>
          <w:b/>
          <w:bCs/>
          <w:sz w:val="22"/>
          <w:szCs w:val="22"/>
          <w:lang w:val="lv-LV"/>
        </w:rPr>
      </w:pPr>
      <w:r w:rsidRPr="004B3AF9">
        <w:rPr>
          <w:b/>
          <w:bCs/>
          <w:sz w:val="22"/>
          <w:szCs w:val="22"/>
          <w:lang w:val="lv-LV"/>
        </w:rPr>
        <w:t xml:space="preserve">KAS JUMS JĀZINA PIRMS GUTTALAX LIETOŠANAS </w:t>
      </w:r>
    </w:p>
    <w:p w:rsidR="006E223A" w:rsidRPr="004B3AF9" w:rsidRDefault="006E223A" w:rsidP="006E223A">
      <w:pPr>
        <w:pStyle w:val="Default"/>
        <w:ind w:left="360"/>
        <w:jc w:val="both"/>
        <w:rPr>
          <w:sz w:val="16"/>
          <w:szCs w:val="16"/>
          <w:lang w:val="lv-LV"/>
        </w:rPr>
      </w:pPr>
    </w:p>
    <w:p w:rsidR="00B63261" w:rsidRPr="004B3AF9" w:rsidRDefault="00B63261" w:rsidP="004B3AF9">
      <w:pPr>
        <w:numPr>
          <w:ilvl w:val="12"/>
          <w:numId w:val="0"/>
        </w:numPr>
        <w:spacing w:after="0" w:line="240" w:lineRule="auto"/>
        <w:ind w:left="567" w:hanging="567"/>
        <w:rPr>
          <w:rFonts w:ascii="Times New Roman" w:hAnsi="Times New Roman"/>
          <w:noProof/>
          <w:lang w:val="lv-LV"/>
        </w:rPr>
      </w:pPr>
      <w:r w:rsidRPr="004B3AF9">
        <w:rPr>
          <w:rFonts w:ascii="Times New Roman" w:hAnsi="Times New Roman"/>
          <w:b/>
          <w:noProof/>
          <w:lang w:val="lv-LV"/>
        </w:rPr>
        <w:t xml:space="preserve">Nelietojiet </w:t>
      </w:r>
      <w:r w:rsidRPr="004B3AF9">
        <w:rPr>
          <w:rFonts w:ascii="Times New Roman" w:hAnsi="Times New Roman"/>
          <w:b/>
          <w:lang w:val="lv-LV"/>
        </w:rPr>
        <w:t xml:space="preserve">GUTTALAX </w:t>
      </w:r>
      <w:r w:rsidRPr="004B3AF9">
        <w:rPr>
          <w:rFonts w:ascii="Times New Roman" w:hAnsi="Times New Roman"/>
          <w:b/>
          <w:noProof/>
          <w:lang w:val="lv-LV"/>
        </w:rPr>
        <w:t>šādos gadījumos</w:t>
      </w:r>
    </w:p>
    <w:p w:rsidR="00B63261" w:rsidRPr="004B3AF9" w:rsidRDefault="00B63261" w:rsidP="004B3AF9">
      <w:pPr>
        <w:numPr>
          <w:ilvl w:val="12"/>
          <w:numId w:val="0"/>
        </w:numPr>
        <w:spacing w:after="0" w:line="240" w:lineRule="auto"/>
        <w:ind w:left="567" w:hanging="567"/>
        <w:rPr>
          <w:rFonts w:ascii="Times New Roman" w:hAnsi="Times New Roman"/>
          <w:noProof/>
          <w:lang w:val="lv-LV"/>
        </w:rPr>
      </w:pPr>
      <w:r w:rsidRPr="004B3AF9">
        <w:rPr>
          <w:rFonts w:ascii="Times New Roman" w:hAnsi="Times New Roman"/>
          <w:noProof/>
          <w:lang w:val="lv-LV"/>
        </w:rPr>
        <w:t>-</w:t>
      </w:r>
      <w:r w:rsidRPr="004B3AF9">
        <w:rPr>
          <w:rFonts w:ascii="Times New Roman" w:hAnsi="Times New Roman"/>
          <w:noProof/>
          <w:lang w:val="lv-LV"/>
        </w:rPr>
        <w:tab/>
        <w:t xml:space="preserve">ja Jums ir alerģija pret nātrija pikosulfātu vai kādu citu </w:t>
      </w:r>
      <w:r w:rsidRPr="004B3AF9">
        <w:rPr>
          <w:rFonts w:ascii="Times New Roman" w:hAnsi="Times New Roman"/>
          <w:lang w:val="lv-LV"/>
        </w:rPr>
        <w:t>(6. punktā minēto)</w:t>
      </w:r>
      <w:r w:rsidRPr="004B3AF9">
        <w:rPr>
          <w:rFonts w:ascii="Times New Roman" w:hAnsi="Times New Roman"/>
          <w:noProof/>
          <w:lang w:val="lv-LV"/>
        </w:rPr>
        <w:t xml:space="preserve"> šo zāļu sastāvdaļu; </w:t>
      </w:r>
    </w:p>
    <w:p w:rsidR="00B63261" w:rsidRPr="004B3AF9" w:rsidRDefault="00B63261" w:rsidP="004B3AF9">
      <w:pPr>
        <w:numPr>
          <w:ilvl w:val="12"/>
          <w:numId w:val="0"/>
        </w:numPr>
        <w:spacing w:after="0" w:line="240" w:lineRule="auto"/>
        <w:ind w:left="567" w:hanging="567"/>
        <w:rPr>
          <w:rFonts w:ascii="Times New Roman" w:hAnsi="Times New Roman"/>
          <w:noProof/>
          <w:lang w:val="lv-LV"/>
        </w:rPr>
      </w:pPr>
      <w:r w:rsidRPr="004B3AF9">
        <w:rPr>
          <w:rFonts w:ascii="Times New Roman" w:hAnsi="Times New Roman"/>
          <w:noProof/>
          <w:lang w:val="lv-LV"/>
        </w:rPr>
        <w:t>-</w:t>
      </w:r>
      <w:r w:rsidRPr="004B3AF9">
        <w:rPr>
          <w:rFonts w:ascii="Times New Roman" w:hAnsi="Times New Roman"/>
          <w:noProof/>
          <w:lang w:val="lv-LV"/>
        </w:rPr>
        <w:tab/>
        <w:t>ja Jums ir ileus (pārejoša zarnu kustības apstāšanās) vai zarnu nosprostojums;</w:t>
      </w:r>
    </w:p>
    <w:p w:rsidR="00B63261" w:rsidRPr="004B3AF9" w:rsidRDefault="00B63261" w:rsidP="004B3AF9">
      <w:pPr>
        <w:numPr>
          <w:ilvl w:val="12"/>
          <w:numId w:val="0"/>
        </w:numPr>
        <w:spacing w:after="0" w:line="240" w:lineRule="auto"/>
        <w:ind w:left="567" w:hanging="567"/>
        <w:rPr>
          <w:rFonts w:ascii="Times New Roman" w:hAnsi="Times New Roman"/>
          <w:lang w:val="lv-LV"/>
        </w:rPr>
      </w:pPr>
      <w:r w:rsidRPr="004B3AF9">
        <w:rPr>
          <w:rFonts w:ascii="Times New Roman" w:hAnsi="Times New Roman"/>
          <w:noProof/>
          <w:lang w:val="lv-LV"/>
        </w:rPr>
        <w:t>-</w:t>
      </w:r>
      <w:r w:rsidRPr="004B3AF9">
        <w:rPr>
          <w:rFonts w:ascii="Times New Roman" w:hAnsi="Times New Roman"/>
          <w:noProof/>
          <w:lang w:val="lv-LV"/>
        </w:rPr>
        <w:tab/>
        <w:t xml:space="preserve">ja Jums </w:t>
      </w:r>
      <w:r w:rsidRPr="004B3AF9">
        <w:rPr>
          <w:rFonts w:ascii="Times New Roman" w:hAnsi="Times New Roman"/>
          <w:lang w:val="lv-LV"/>
        </w:rPr>
        <w:t>akūta vēdera simptomi -stipras sāpes vēderā un/vai drudzis  (piem., apendicīts), iespējami saistīti ar sliktu dūšu un vemšanu;</w:t>
      </w:r>
    </w:p>
    <w:p w:rsidR="00B63261" w:rsidRPr="004B3AF9" w:rsidRDefault="004B3AF9" w:rsidP="004B3AF9">
      <w:pPr>
        <w:numPr>
          <w:ilvl w:val="12"/>
          <w:numId w:val="0"/>
        </w:numPr>
        <w:spacing w:after="0" w:line="240" w:lineRule="auto"/>
        <w:ind w:left="567" w:hanging="567"/>
        <w:rPr>
          <w:rFonts w:ascii="Times New Roman" w:hAnsi="Times New Roman"/>
          <w:lang w:val="lv-LV"/>
        </w:rPr>
      </w:pPr>
      <w:r>
        <w:rPr>
          <w:rFonts w:ascii="Times New Roman" w:hAnsi="Times New Roman"/>
          <w:lang w:val="lv-LV"/>
        </w:rPr>
        <w:t xml:space="preserve">-      </w:t>
      </w:r>
      <w:r w:rsidR="00B63261" w:rsidRPr="004B3AF9">
        <w:rPr>
          <w:rFonts w:ascii="Times New Roman" w:hAnsi="Times New Roman"/>
          <w:lang w:val="lv-LV"/>
        </w:rPr>
        <w:t>ja Jums ir akūta iekaisīga zarnu slimība;</w:t>
      </w:r>
    </w:p>
    <w:p w:rsidR="00B63261" w:rsidRPr="004B3AF9" w:rsidRDefault="00B63261" w:rsidP="004B3AF9">
      <w:pPr>
        <w:numPr>
          <w:ilvl w:val="12"/>
          <w:numId w:val="0"/>
        </w:numPr>
        <w:spacing w:after="0" w:line="240" w:lineRule="auto"/>
        <w:ind w:left="567" w:hanging="567"/>
        <w:rPr>
          <w:rFonts w:ascii="Times New Roman" w:hAnsi="Times New Roman"/>
          <w:noProof/>
          <w:lang w:val="lv-LV"/>
        </w:rPr>
      </w:pPr>
      <w:r w:rsidRPr="004B3AF9">
        <w:rPr>
          <w:rFonts w:ascii="Times New Roman" w:hAnsi="Times New Roman"/>
          <w:noProof/>
          <w:lang w:val="lv-LV"/>
        </w:rPr>
        <w:t>-</w:t>
      </w:r>
      <w:r w:rsidRPr="004B3AF9">
        <w:rPr>
          <w:rFonts w:ascii="Times New Roman" w:hAnsi="Times New Roman"/>
          <w:noProof/>
          <w:lang w:val="lv-LV"/>
        </w:rPr>
        <w:tab/>
        <w:t>ja Jūsu organisms ir zaudējis daudz šķidruma;</w:t>
      </w:r>
    </w:p>
    <w:p w:rsidR="00B63261" w:rsidRPr="004B3AF9" w:rsidRDefault="00B63261" w:rsidP="004B3AF9">
      <w:pPr>
        <w:spacing w:after="0" w:line="240" w:lineRule="auto"/>
        <w:ind w:left="567" w:hanging="567"/>
        <w:rPr>
          <w:rFonts w:ascii="Times New Roman" w:hAnsi="Times New Roman"/>
          <w:lang w:val="lv-LV"/>
        </w:rPr>
      </w:pPr>
      <w:r w:rsidRPr="004B3AF9">
        <w:rPr>
          <w:rFonts w:ascii="Times New Roman" w:hAnsi="Times New Roman"/>
          <w:noProof/>
          <w:lang w:val="lv-LV"/>
        </w:rPr>
        <w:t>-</w:t>
      </w:r>
      <w:r w:rsidRPr="004B3AF9">
        <w:rPr>
          <w:rFonts w:ascii="Times New Roman" w:hAnsi="Times New Roman"/>
          <w:noProof/>
          <w:lang w:val="lv-LV"/>
        </w:rPr>
        <w:tab/>
        <w:t xml:space="preserve">ja Jums ir </w:t>
      </w:r>
      <w:r w:rsidRPr="004B3AF9">
        <w:rPr>
          <w:rFonts w:ascii="Times New Roman" w:hAnsi="Times New Roman"/>
          <w:lang w:val="lv-LV"/>
        </w:rPr>
        <w:t>stipras vēdera sāpes, kam pievienojas slikta dūša un vemšana, kas var būt smaga stāvokļu rādītājs;</w:t>
      </w:r>
    </w:p>
    <w:p w:rsidR="00B63261" w:rsidRPr="004B3AF9" w:rsidRDefault="00B63261" w:rsidP="004B3AF9">
      <w:pPr>
        <w:spacing w:after="0" w:line="240" w:lineRule="auto"/>
        <w:ind w:left="567" w:hanging="567"/>
        <w:rPr>
          <w:rFonts w:ascii="Times New Roman" w:hAnsi="Times New Roman"/>
          <w:lang w:val="lv-LV"/>
        </w:rPr>
      </w:pPr>
      <w:r w:rsidRPr="004B3AF9">
        <w:rPr>
          <w:rFonts w:ascii="Times New Roman" w:hAnsi="Times New Roman"/>
          <w:lang w:val="lv-LV"/>
        </w:rPr>
        <w:t>-</w:t>
      </w:r>
      <w:r w:rsidRPr="004B3AF9">
        <w:rPr>
          <w:rFonts w:ascii="Times New Roman" w:hAnsi="Times New Roman"/>
          <w:lang w:val="lv-LV"/>
        </w:rPr>
        <w:tab/>
        <w:t xml:space="preserve">ja Jums ir reti iedzimti traucējumi, kas nav savietojami ar zāļu palīgvielu (lūdzu skatīt sadaļu „Guttalax satur sorbītu”). </w:t>
      </w:r>
    </w:p>
    <w:p w:rsidR="00B63261" w:rsidRPr="004B3AF9" w:rsidRDefault="00B63261" w:rsidP="004B3AF9">
      <w:pPr>
        <w:numPr>
          <w:ilvl w:val="12"/>
          <w:numId w:val="0"/>
        </w:numPr>
        <w:spacing w:after="0" w:line="240" w:lineRule="auto"/>
        <w:rPr>
          <w:rFonts w:ascii="Times New Roman" w:hAnsi="Times New Roman"/>
          <w:noProof/>
          <w:sz w:val="16"/>
          <w:szCs w:val="16"/>
          <w:lang w:val="lv-LV"/>
        </w:rPr>
      </w:pPr>
    </w:p>
    <w:p w:rsidR="00B63261" w:rsidRPr="004B3AF9" w:rsidRDefault="00B63261" w:rsidP="009B5EA3">
      <w:pPr>
        <w:numPr>
          <w:ilvl w:val="12"/>
          <w:numId w:val="0"/>
        </w:numPr>
        <w:spacing w:after="0" w:line="240" w:lineRule="auto"/>
        <w:ind w:left="567" w:hanging="567"/>
        <w:rPr>
          <w:rFonts w:ascii="Times New Roman" w:hAnsi="Times New Roman"/>
          <w:b/>
          <w:noProof/>
          <w:lang w:val="lv-LV"/>
        </w:rPr>
      </w:pPr>
      <w:r w:rsidRPr="004B3AF9">
        <w:rPr>
          <w:rFonts w:ascii="Times New Roman" w:hAnsi="Times New Roman"/>
          <w:b/>
          <w:noProof/>
          <w:lang w:val="lv-LV"/>
        </w:rPr>
        <w:t>Brīdinājumi un piesardzība lietošanā</w:t>
      </w:r>
    </w:p>
    <w:p w:rsidR="00B63261" w:rsidRPr="004B3AF9" w:rsidRDefault="00B63261" w:rsidP="009B5EA3">
      <w:pPr>
        <w:numPr>
          <w:ilvl w:val="12"/>
          <w:numId w:val="0"/>
        </w:numPr>
        <w:spacing w:after="0" w:line="240" w:lineRule="auto"/>
        <w:rPr>
          <w:rFonts w:ascii="Times New Roman" w:hAnsi="Times New Roman"/>
          <w:noProof/>
          <w:lang w:val="lv-LV"/>
        </w:rPr>
      </w:pPr>
      <w:r w:rsidRPr="004B3AF9">
        <w:rPr>
          <w:rFonts w:ascii="Times New Roman" w:hAnsi="Times New Roman"/>
          <w:noProof/>
          <w:lang w:val="lv-LV"/>
        </w:rPr>
        <w:t xml:space="preserve">Pirms GUTTALAX  lietošanas konsultējieties ar ārstu vai farmaceitu  </w:t>
      </w:r>
    </w:p>
    <w:p w:rsidR="00B63261" w:rsidRPr="004B3AF9" w:rsidRDefault="00B63261" w:rsidP="009B5EA3">
      <w:pPr>
        <w:spacing w:after="0" w:line="240" w:lineRule="auto"/>
        <w:ind w:left="567" w:hanging="567"/>
        <w:rPr>
          <w:rFonts w:ascii="Times New Roman" w:hAnsi="Times New Roman"/>
          <w:lang w:val="lv-LV"/>
        </w:rPr>
      </w:pPr>
      <w:r w:rsidRPr="004B3AF9">
        <w:rPr>
          <w:rFonts w:ascii="Times New Roman" w:hAnsi="Times New Roman"/>
          <w:bCs/>
          <w:lang w:val="lv-LV"/>
        </w:rPr>
        <w:t>-</w:t>
      </w:r>
      <w:r w:rsidRPr="004B3AF9">
        <w:rPr>
          <w:rFonts w:ascii="Times New Roman" w:hAnsi="Times New Roman"/>
          <w:bCs/>
          <w:lang w:val="lv-LV"/>
        </w:rPr>
        <w:tab/>
        <w:t xml:space="preserve">ja Jums nepieciešamas vēdera izeju veicinošas zāles </w:t>
      </w:r>
      <w:r w:rsidRPr="004B3AF9">
        <w:rPr>
          <w:rFonts w:ascii="Times New Roman" w:hAnsi="Times New Roman"/>
          <w:lang w:val="lv-LV"/>
        </w:rPr>
        <w:t>katru dienu vai ilgstošā laika periodā, Jums jākonsultējas ar ārstu, lai noskaidrotu aizcietējuma cēloni, jo ilgstoša pārmērīga zāļu lietošana var radīt šķidruma un elektrolītu līdzsvara traucējumus un pazemināt kālija līmeni asinīs (hipokaliēmija).</w:t>
      </w:r>
    </w:p>
    <w:p w:rsidR="00B63261" w:rsidRPr="009B5EA3" w:rsidRDefault="00B63261" w:rsidP="009B5EA3">
      <w:pPr>
        <w:spacing w:after="0" w:line="240" w:lineRule="auto"/>
        <w:jc w:val="both"/>
        <w:rPr>
          <w:rFonts w:ascii="Times New Roman" w:hAnsi="Times New Roman"/>
          <w:sz w:val="16"/>
          <w:szCs w:val="16"/>
          <w:lang w:val="lv-LV"/>
        </w:rPr>
      </w:pPr>
    </w:p>
    <w:p w:rsidR="00B63261" w:rsidRPr="004B3AF9" w:rsidRDefault="00B63261" w:rsidP="009B5EA3">
      <w:pPr>
        <w:spacing w:after="0" w:line="240" w:lineRule="auto"/>
        <w:rPr>
          <w:rFonts w:ascii="Times New Roman" w:hAnsi="Times New Roman"/>
          <w:lang w:val="lv-LV"/>
        </w:rPr>
      </w:pPr>
      <w:r w:rsidRPr="004B3AF9">
        <w:rPr>
          <w:rFonts w:ascii="Times New Roman" w:hAnsi="Times New Roman"/>
          <w:lang w:val="lv-LV"/>
        </w:rPr>
        <w:t>Ir saņemti ziņojumi par reiboni un/vai  ģīboni no pacientiem, kuri lietojuši GUTTALAX. Šie notikumi varētu būt saistīti ar vēdera aizcietējumu (piepūli vēdera izejas laikā, vēdera sāpēm) un nav obligāti saistāmi ar nātrija pikosulfāta lietošanu.</w:t>
      </w:r>
    </w:p>
    <w:p w:rsidR="00B63261" w:rsidRPr="004B3AF9" w:rsidRDefault="00B63261" w:rsidP="009B5EA3">
      <w:pPr>
        <w:spacing w:after="0" w:line="240" w:lineRule="auto"/>
        <w:jc w:val="both"/>
        <w:rPr>
          <w:rFonts w:ascii="Times New Roman" w:hAnsi="Times New Roman"/>
          <w:lang w:val="lv-LV"/>
        </w:rPr>
      </w:pPr>
      <w:r w:rsidRPr="004B3AF9">
        <w:rPr>
          <w:rFonts w:ascii="Times New Roman" w:hAnsi="Times New Roman"/>
          <w:lang w:val="lv-LV"/>
        </w:rPr>
        <w:lastRenderedPageBreak/>
        <w:t xml:space="preserve">Bērniem nevajadzētu lietot </w:t>
      </w:r>
      <w:r w:rsidRPr="004B3AF9">
        <w:rPr>
          <w:rFonts w:ascii="Times New Roman" w:hAnsi="Times New Roman"/>
          <w:bCs/>
          <w:lang w:val="lv-LV"/>
        </w:rPr>
        <w:t>GUTTALAX</w:t>
      </w:r>
      <w:r w:rsidRPr="004B3AF9">
        <w:rPr>
          <w:rFonts w:ascii="Times New Roman" w:hAnsi="Times New Roman"/>
          <w:lang w:val="lv-LV"/>
        </w:rPr>
        <w:t>, ja to nav ieteicis ārsts.</w:t>
      </w:r>
    </w:p>
    <w:p w:rsidR="006E223A" w:rsidRPr="004B3AF9" w:rsidRDefault="006E223A" w:rsidP="009B5EA3">
      <w:pPr>
        <w:pStyle w:val="Default"/>
        <w:jc w:val="both"/>
        <w:rPr>
          <w:b/>
          <w:bCs/>
          <w:sz w:val="16"/>
          <w:szCs w:val="16"/>
          <w:lang w:val="lv-LV"/>
        </w:rPr>
      </w:pPr>
    </w:p>
    <w:p w:rsidR="00B63261" w:rsidRPr="004B3AF9" w:rsidRDefault="00B63261" w:rsidP="009B5EA3">
      <w:pPr>
        <w:numPr>
          <w:ilvl w:val="12"/>
          <w:numId w:val="0"/>
        </w:numPr>
        <w:spacing w:after="0" w:line="240" w:lineRule="auto"/>
        <w:ind w:left="567" w:hanging="567"/>
        <w:rPr>
          <w:rFonts w:ascii="Times New Roman" w:hAnsi="Times New Roman"/>
          <w:noProof/>
          <w:lang w:val="lv-LV"/>
        </w:rPr>
      </w:pPr>
      <w:r w:rsidRPr="004B3AF9">
        <w:rPr>
          <w:rFonts w:ascii="Times New Roman" w:hAnsi="Times New Roman"/>
          <w:b/>
          <w:noProof/>
          <w:lang w:val="lv-LV"/>
        </w:rPr>
        <w:t>Citas zāles un GUTTALAX</w:t>
      </w:r>
    </w:p>
    <w:p w:rsidR="00B63261" w:rsidRPr="004B3AF9" w:rsidRDefault="00B63261" w:rsidP="009B5EA3">
      <w:pPr>
        <w:numPr>
          <w:ilvl w:val="12"/>
          <w:numId w:val="0"/>
        </w:numPr>
        <w:spacing w:after="0" w:line="240" w:lineRule="auto"/>
        <w:jc w:val="both"/>
        <w:rPr>
          <w:rFonts w:ascii="Times New Roman" w:hAnsi="Times New Roman"/>
          <w:noProof/>
          <w:lang w:val="lv-LV"/>
        </w:rPr>
      </w:pPr>
      <w:r w:rsidRPr="004B3AF9">
        <w:rPr>
          <w:rFonts w:ascii="Times New Roman" w:hAnsi="Times New Roman"/>
          <w:noProof/>
          <w:lang w:val="lv-LV"/>
        </w:rPr>
        <w:t>Pastāstiet ārstam vai farmaceitam par visām zālēm, kuras lietojat vai pēdējā laikā esat lietojis, ieskaitot zāles, ko var iegādāties bez receptes.</w:t>
      </w:r>
    </w:p>
    <w:p w:rsidR="00B63261" w:rsidRPr="009B5EA3" w:rsidRDefault="00B63261" w:rsidP="009B5EA3">
      <w:pPr>
        <w:spacing w:after="0" w:line="240" w:lineRule="auto"/>
        <w:rPr>
          <w:rFonts w:ascii="Times New Roman" w:hAnsi="Times New Roman"/>
          <w:sz w:val="16"/>
          <w:szCs w:val="16"/>
          <w:lang w:val="lv-LV"/>
        </w:rPr>
      </w:pPr>
    </w:p>
    <w:p w:rsidR="00B63261" w:rsidRPr="004B3AF9" w:rsidRDefault="00B63261" w:rsidP="009B5EA3">
      <w:pPr>
        <w:spacing w:after="0" w:line="240" w:lineRule="auto"/>
        <w:rPr>
          <w:rFonts w:ascii="Times New Roman" w:hAnsi="Times New Roman"/>
          <w:lang w:val="lv-LV"/>
        </w:rPr>
      </w:pPr>
      <w:r w:rsidRPr="004B3AF9">
        <w:rPr>
          <w:rFonts w:ascii="Times New Roman" w:hAnsi="Times New Roman"/>
          <w:lang w:val="lv-LV"/>
        </w:rPr>
        <w:t>Vienlaicīga diurētisko (urīndzenošo) līdzekļu vai steroīdhormonu lietošana var palielināt elektrolītu līdzsvara traucējumu risku, ja tikušas lietotas pārmērīgi lielas GUTTALAX devas.</w:t>
      </w:r>
    </w:p>
    <w:p w:rsidR="00B63261" w:rsidRPr="004B3AF9" w:rsidRDefault="00B63261" w:rsidP="009B5EA3">
      <w:pPr>
        <w:numPr>
          <w:ilvl w:val="12"/>
          <w:numId w:val="0"/>
        </w:numPr>
        <w:spacing w:after="0" w:line="240" w:lineRule="auto"/>
        <w:rPr>
          <w:rFonts w:ascii="Times New Roman" w:hAnsi="Times New Roman"/>
          <w:noProof/>
          <w:lang w:val="lv-LV"/>
        </w:rPr>
      </w:pPr>
      <w:r w:rsidRPr="004B3AF9">
        <w:rPr>
          <w:rFonts w:ascii="Times New Roman" w:hAnsi="Times New Roman"/>
          <w:lang w:val="lv-LV"/>
        </w:rPr>
        <w:t>Elektrolītu līdzsvara traucējumi var palielināt jutību pret sirds glikozīdiem (zāļu grupa, ko lieto sirds mazspējas un ritma traucējumu ārstēšanai, piem., digoksīns).</w:t>
      </w:r>
    </w:p>
    <w:p w:rsidR="00B63261" w:rsidRPr="009B5EA3" w:rsidRDefault="00B63261" w:rsidP="009B5EA3">
      <w:pPr>
        <w:numPr>
          <w:ilvl w:val="12"/>
          <w:numId w:val="0"/>
        </w:numPr>
        <w:spacing w:after="0" w:line="240" w:lineRule="auto"/>
        <w:rPr>
          <w:rFonts w:ascii="Times New Roman" w:hAnsi="Times New Roman"/>
          <w:noProof/>
          <w:sz w:val="16"/>
          <w:szCs w:val="16"/>
          <w:lang w:val="lv-LV"/>
        </w:rPr>
      </w:pPr>
    </w:p>
    <w:p w:rsidR="00B63261" w:rsidRPr="004B3AF9" w:rsidRDefault="00B63261" w:rsidP="009B5EA3">
      <w:pPr>
        <w:numPr>
          <w:ilvl w:val="12"/>
          <w:numId w:val="0"/>
        </w:numPr>
        <w:spacing w:after="0" w:line="240" w:lineRule="auto"/>
        <w:rPr>
          <w:rFonts w:ascii="Times New Roman" w:hAnsi="Times New Roman"/>
          <w:noProof/>
          <w:lang w:val="lv-LV"/>
        </w:rPr>
      </w:pPr>
      <w:r w:rsidRPr="004B3AF9">
        <w:rPr>
          <w:rFonts w:ascii="Times New Roman" w:hAnsi="Times New Roman"/>
          <w:noProof/>
          <w:lang w:val="lv-LV"/>
        </w:rPr>
        <w:t>Vienlaicīga lietošana ar antibiotikām (zāles bakteriālu infekciju ārstēšanai) var mazināt GUTTALAX laksatīvo darbību.</w:t>
      </w:r>
    </w:p>
    <w:p w:rsidR="009B5EA3" w:rsidRPr="009B5EA3" w:rsidRDefault="009B5EA3" w:rsidP="009B5EA3">
      <w:pPr>
        <w:numPr>
          <w:ilvl w:val="12"/>
          <w:numId w:val="0"/>
        </w:numPr>
        <w:spacing w:after="0" w:line="240" w:lineRule="auto"/>
        <w:ind w:left="567" w:hanging="567"/>
        <w:rPr>
          <w:rFonts w:ascii="Times New Roman" w:hAnsi="Times New Roman"/>
          <w:b/>
          <w:noProof/>
          <w:sz w:val="16"/>
          <w:szCs w:val="16"/>
          <w:lang w:val="lv-LV"/>
        </w:rPr>
      </w:pPr>
    </w:p>
    <w:p w:rsidR="00B63261" w:rsidRPr="004B3AF9" w:rsidRDefault="00B63261" w:rsidP="009B5EA3">
      <w:pPr>
        <w:numPr>
          <w:ilvl w:val="12"/>
          <w:numId w:val="0"/>
        </w:numPr>
        <w:spacing w:after="0" w:line="240" w:lineRule="auto"/>
        <w:ind w:left="567" w:hanging="567"/>
        <w:rPr>
          <w:rFonts w:ascii="Times New Roman" w:hAnsi="Times New Roman"/>
          <w:b/>
          <w:noProof/>
          <w:lang w:val="lv-LV"/>
        </w:rPr>
      </w:pPr>
      <w:r w:rsidRPr="004B3AF9">
        <w:rPr>
          <w:rFonts w:ascii="Times New Roman" w:hAnsi="Times New Roman"/>
          <w:b/>
          <w:noProof/>
          <w:lang w:val="lv-LV"/>
        </w:rPr>
        <w:t>Grūtniecība, barošana ar krūti un fertilitāte</w:t>
      </w:r>
    </w:p>
    <w:p w:rsidR="00B63261" w:rsidRPr="004B3AF9" w:rsidRDefault="00B63261" w:rsidP="009B5EA3">
      <w:pPr>
        <w:spacing w:after="0" w:line="240" w:lineRule="auto"/>
        <w:rPr>
          <w:rFonts w:ascii="Times New Roman" w:hAnsi="Times New Roman"/>
          <w:noProof/>
          <w:lang w:val="lv-LV"/>
        </w:rPr>
      </w:pPr>
      <w:r w:rsidRPr="004B3AF9">
        <w:rPr>
          <w:rFonts w:ascii="Times New Roman" w:hAnsi="Times New Roman"/>
          <w:noProof/>
          <w:lang w:val="lv-LV"/>
        </w:rPr>
        <w:t>Ja Jūs esat grūtniece vai barojat bērnu ar krūti, ja domājat, ka Jums varētu būt grūtniecība vai plānojat grūtniecību, pirms šo zāļu lietošanas konsultējieties ar ārstu vai farmaceitu.</w:t>
      </w:r>
    </w:p>
    <w:p w:rsidR="00B63261" w:rsidRPr="009B5EA3" w:rsidRDefault="00B63261" w:rsidP="009B5EA3">
      <w:pPr>
        <w:spacing w:after="0" w:line="240" w:lineRule="auto"/>
        <w:rPr>
          <w:rFonts w:ascii="Times New Roman" w:hAnsi="Times New Roman"/>
          <w:sz w:val="16"/>
          <w:szCs w:val="16"/>
          <w:lang w:val="lv-LV"/>
        </w:rPr>
      </w:pPr>
    </w:p>
    <w:p w:rsidR="00B63261" w:rsidRPr="004B3AF9" w:rsidRDefault="00B63261" w:rsidP="009B5EA3">
      <w:pPr>
        <w:spacing w:after="0" w:line="240" w:lineRule="auto"/>
        <w:rPr>
          <w:rFonts w:ascii="Times New Roman" w:hAnsi="Times New Roman"/>
          <w:lang w:val="lv-LV"/>
        </w:rPr>
      </w:pPr>
      <w:r w:rsidRPr="004B3AF9">
        <w:rPr>
          <w:rFonts w:ascii="Times New Roman" w:hAnsi="Times New Roman"/>
          <w:lang w:val="lv-LV"/>
        </w:rPr>
        <w:t>Tāpat kā citas zāles, grūtniecības laikā GUTTALAX var lietot vienīgi pēc ārsta ieteikuma.</w:t>
      </w:r>
    </w:p>
    <w:p w:rsidR="00B63261" w:rsidRPr="009B5EA3" w:rsidRDefault="00B63261" w:rsidP="009B5EA3">
      <w:pPr>
        <w:numPr>
          <w:ilvl w:val="12"/>
          <w:numId w:val="0"/>
        </w:numPr>
        <w:spacing w:after="0" w:line="240" w:lineRule="auto"/>
        <w:rPr>
          <w:rFonts w:ascii="Times New Roman" w:hAnsi="Times New Roman"/>
          <w:noProof/>
          <w:sz w:val="16"/>
          <w:szCs w:val="16"/>
          <w:lang w:val="lv-LV"/>
        </w:rPr>
      </w:pPr>
    </w:p>
    <w:p w:rsidR="00B63261" w:rsidRPr="004B3AF9" w:rsidRDefault="00B63261" w:rsidP="009B5EA3">
      <w:pPr>
        <w:numPr>
          <w:ilvl w:val="12"/>
          <w:numId w:val="0"/>
        </w:numPr>
        <w:spacing w:after="0" w:line="240" w:lineRule="auto"/>
        <w:rPr>
          <w:rFonts w:ascii="Times New Roman" w:hAnsi="Times New Roman"/>
          <w:noProof/>
          <w:lang w:val="lv-LV"/>
        </w:rPr>
      </w:pPr>
      <w:r w:rsidRPr="004B3AF9">
        <w:rPr>
          <w:rFonts w:ascii="Times New Roman" w:hAnsi="Times New Roman"/>
          <w:noProof/>
          <w:lang w:val="lv-LV"/>
        </w:rPr>
        <w:t>GUTTALAX var  lietot zīdīšanas periodā.</w:t>
      </w:r>
    </w:p>
    <w:p w:rsidR="00B63261" w:rsidRPr="004B3AF9" w:rsidRDefault="00B63261" w:rsidP="009B5EA3">
      <w:pPr>
        <w:numPr>
          <w:ilvl w:val="12"/>
          <w:numId w:val="0"/>
        </w:numPr>
        <w:spacing w:after="0" w:line="240" w:lineRule="auto"/>
        <w:ind w:left="567" w:hanging="567"/>
        <w:rPr>
          <w:rFonts w:ascii="Times New Roman" w:hAnsi="Times New Roman"/>
          <w:b/>
          <w:noProof/>
          <w:lang w:val="lv-LV"/>
        </w:rPr>
      </w:pPr>
      <w:r w:rsidRPr="004B3AF9">
        <w:rPr>
          <w:rFonts w:ascii="Times New Roman" w:hAnsi="Times New Roman"/>
          <w:b/>
          <w:noProof/>
          <w:lang w:val="lv-LV"/>
        </w:rPr>
        <w:t>Transportlīdzekļu vadīšana un mehānismu apkalpošana</w:t>
      </w:r>
    </w:p>
    <w:p w:rsidR="00B63261" w:rsidRPr="004B3AF9" w:rsidRDefault="00B63261" w:rsidP="009B5EA3">
      <w:pPr>
        <w:spacing w:after="0" w:line="240" w:lineRule="auto"/>
        <w:jc w:val="both"/>
        <w:rPr>
          <w:rFonts w:ascii="Times New Roman" w:hAnsi="Times New Roman"/>
          <w:lang w:val="lv-LV"/>
        </w:rPr>
      </w:pPr>
      <w:r w:rsidRPr="004B3AF9">
        <w:rPr>
          <w:rFonts w:ascii="Times New Roman" w:hAnsi="Times New Roman"/>
          <w:lang w:val="lv-LV"/>
        </w:rPr>
        <w:t>Līdz šim nav veikti pētījumi, lai novērtētu ietekmi uz spēju vadīt transporta līdzekļus un apkalpot mehānismus.</w:t>
      </w:r>
    </w:p>
    <w:p w:rsidR="00B63261" w:rsidRPr="009B5EA3" w:rsidRDefault="00B63261" w:rsidP="009B5EA3">
      <w:pPr>
        <w:numPr>
          <w:ilvl w:val="12"/>
          <w:numId w:val="0"/>
        </w:numPr>
        <w:spacing w:after="0" w:line="240" w:lineRule="auto"/>
        <w:ind w:left="567" w:hanging="567"/>
        <w:rPr>
          <w:rFonts w:ascii="Times New Roman" w:hAnsi="Times New Roman"/>
          <w:noProof/>
          <w:sz w:val="16"/>
          <w:szCs w:val="16"/>
          <w:lang w:val="lv-LV"/>
        </w:rPr>
      </w:pPr>
    </w:p>
    <w:p w:rsidR="00B63261" w:rsidRPr="004B3AF9" w:rsidRDefault="00B63261" w:rsidP="009B5EA3">
      <w:pPr>
        <w:spacing w:after="0" w:line="240" w:lineRule="auto"/>
        <w:rPr>
          <w:rFonts w:ascii="Times New Roman" w:hAnsi="Times New Roman"/>
          <w:lang w:val="lv-LV"/>
        </w:rPr>
      </w:pPr>
      <w:r w:rsidRPr="004B3AF9">
        <w:rPr>
          <w:rFonts w:ascii="Times New Roman" w:hAnsi="Times New Roman"/>
          <w:lang w:val="lv-LV"/>
        </w:rPr>
        <w:t>Tomēr, saistībā ar aizcietējumu (piem., spazmas vēderā tā rezultātā), Jums var rasties reibonis un/vai ģībonis. Tādēļ, ja rodas spazmas vēderā, Jums jāizvairas no potenciāli bīstamu pienākumu veikšanas, kā piem. transportlīdzekļu vadīšanas vai mehānismu apkalpošanas.</w:t>
      </w:r>
    </w:p>
    <w:p w:rsidR="00B63261" w:rsidRPr="009B5EA3" w:rsidRDefault="00B63261" w:rsidP="009B5EA3">
      <w:pPr>
        <w:numPr>
          <w:ilvl w:val="12"/>
          <w:numId w:val="0"/>
        </w:numPr>
        <w:spacing w:after="0" w:line="240" w:lineRule="auto"/>
        <w:ind w:left="567" w:hanging="567"/>
        <w:rPr>
          <w:rFonts w:ascii="Times New Roman" w:hAnsi="Times New Roman"/>
          <w:noProof/>
          <w:sz w:val="16"/>
          <w:szCs w:val="16"/>
          <w:lang w:val="lv-LV"/>
        </w:rPr>
      </w:pPr>
    </w:p>
    <w:p w:rsidR="00B63261" w:rsidRPr="004B3AF9" w:rsidRDefault="00B63261" w:rsidP="009B5EA3">
      <w:pPr>
        <w:numPr>
          <w:ilvl w:val="12"/>
          <w:numId w:val="0"/>
        </w:numPr>
        <w:spacing w:after="0" w:line="240" w:lineRule="auto"/>
        <w:ind w:left="567" w:hanging="567"/>
        <w:rPr>
          <w:rFonts w:ascii="Times New Roman" w:hAnsi="Times New Roman"/>
          <w:b/>
          <w:noProof/>
          <w:lang w:val="lv-LV"/>
        </w:rPr>
      </w:pPr>
      <w:r w:rsidRPr="004B3AF9">
        <w:rPr>
          <w:rFonts w:ascii="Times New Roman" w:hAnsi="Times New Roman"/>
          <w:b/>
          <w:noProof/>
          <w:lang w:val="lv-LV"/>
        </w:rPr>
        <w:t>GUTTALAX satur sorbītu</w:t>
      </w:r>
    </w:p>
    <w:p w:rsidR="00B63261" w:rsidRPr="004B3AF9" w:rsidRDefault="00B63261" w:rsidP="009B5EA3">
      <w:pPr>
        <w:spacing w:after="0" w:line="240" w:lineRule="auto"/>
        <w:rPr>
          <w:rFonts w:ascii="Times New Roman" w:hAnsi="Times New Roman"/>
          <w:lang w:val="lv-LV"/>
        </w:rPr>
      </w:pPr>
      <w:r w:rsidRPr="004B3AF9">
        <w:rPr>
          <w:rFonts w:ascii="Times New Roman" w:hAnsi="Times New Roman"/>
          <w:lang w:val="lv-LV"/>
        </w:rPr>
        <w:t>1 ml šķīduma satur 0,45 g sorbīta, kas sastāda 0,6 g sorbīta lietojot maksimāli rekomendēto dienas devu pieaugušajiem un bērniem no 10 gadu vecuma.  Ja ārsts ir teicis, ka jums ir kāda cukura nepanesība, pirms lietojat šīs zāles, konsultējieties ar ārstu.</w:t>
      </w:r>
    </w:p>
    <w:p w:rsidR="006E223A" w:rsidRPr="004B3AF9" w:rsidRDefault="006E223A" w:rsidP="006E223A">
      <w:pPr>
        <w:pStyle w:val="Default"/>
        <w:jc w:val="both"/>
        <w:rPr>
          <w:sz w:val="16"/>
          <w:szCs w:val="16"/>
          <w:lang w:val="lv-LV"/>
        </w:rPr>
      </w:pPr>
    </w:p>
    <w:p w:rsidR="006E223A" w:rsidRDefault="006E223A" w:rsidP="009B5EA3">
      <w:pPr>
        <w:pStyle w:val="Default"/>
        <w:numPr>
          <w:ilvl w:val="0"/>
          <w:numId w:val="2"/>
        </w:numPr>
        <w:jc w:val="both"/>
        <w:rPr>
          <w:b/>
          <w:bCs/>
          <w:sz w:val="22"/>
          <w:szCs w:val="22"/>
          <w:lang w:val="lv-LV"/>
        </w:rPr>
      </w:pPr>
      <w:r w:rsidRPr="004B3AF9">
        <w:rPr>
          <w:b/>
          <w:bCs/>
          <w:sz w:val="22"/>
          <w:szCs w:val="22"/>
          <w:lang w:val="lv-LV"/>
        </w:rPr>
        <w:t xml:space="preserve">KĀ LIETOT GUTTALAX </w:t>
      </w:r>
    </w:p>
    <w:p w:rsidR="009B5EA3" w:rsidRPr="009B5EA3" w:rsidRDefault="009B5EA3" w:rsidP="009B5EA3">
      <w:pPr>
        <w:pStyle w:val="Default"/>
        <w:ind w:left="720"/>
        <w:jc w:val="both"/>
        <w:rPr>
          <w:b/>
          <w:bCs/>
          <w:sz w:val="16"/>
          <w:szCs w:val="16"/>
          <w:lang w:val="lv-LV"/>
        </w:rPr>
      </w:pPr>
    </w:p>
    <w:p w:rsidR="0065138A" w:rsidRPr="004B3AF9" w:rsidRDefault="0065138A" w:rsidP="009B5EA3">
      <w:pPr>
        <w:numPr>
          <w:ilvl w:val="12"/>
          <w:numId w:val="2"/>
        </w:numPr>
        <w:tabs>
          <w:tab w:val="clear" w:pos="360"/>
        </w:tabs>
        <w:spacing w:after="0" w:line="240" w:lineRule="auto"/>
        <w:ind w:left="284" w:hanging="284"/>
        <w:rPr>
          <w:rFonts w:ascii="Times New Roman" w:hAnsi="Times New Roman"/>
          <w:noProof/>
          <w:lang w:val="lv-LV"/>
        </w:rPr>
      </w:pPr>
      <w:r w:rsidRPr="004B3AF9">
        <w:rPr>
          <w:rFonts w:ascii="Times New Roman" w:hAnsi="Times New Roman"/>
          <w:noProof/>
          <w:lang w:val="lv-LV"/>
        </w:rPr>
        <w:t>Vienmēr lietojiet šīs zāles tieši tā, kā aprakstīts šajā instrukcijā vai kā ār</w:t>
      </w:r>
      <w:r w:rsidR="009B1ABB" w:rsidRPr="004B3AF9">
        <w:rPr>
          <w:rFonts w:ascii="Times New Roman" w:hAnsi="Times New Roman"/>
          <w:noProof/>
          <w:lang w:val="lv-LV"/>
        </w:rPr>
        <w:t>sts, vai farmaceits Jums teicis</w:t>
      </w:r>
      <w:r w:rsidRPr="004B3AF9">
        <w:rPr>
          <w:rFonts w:ascii="Times New Roman" w:hAnsi="Times New Roman"/>
          <w:noProof/>
          <w:lang w:val="lv-LV"/>
        </w:rPr>
        <w:t xml:space="preserve">. Neskaidrību gadījumā vaicājiet ārstam vai farmaceitam. </w:t>
      </w:r>
    </w:p>
    <w:p w:rsidR="0065138A" w:rsidRPr="00912B05" w:rsidRDefault="0065138A" w:rsidP="009B5EA3">
      <w:pPr>
        <w:numPr>
          <w:ilvl w:val="12"/>
          <w:numId w:val="2"/>
        </w:numPr>
        <w:spacing w:after="0" w:line="240" w:lineRule="auto"/>
        <w:rPr>
          <w:rFonts w:ascii="Times New Roman" w:hAnsi="Times New Roman"/>
          <w:noProof/>
          <w:sz w:val="16"/>
          <w:szCs w:val="16"/>
          <w:lang w:val="lv-LV"/>
        </w:rPr>
      </w:pPr>
    </w:p>
    <w:p w:rsidR="0065138A" w:rsidRPr="004B3AF9" w:rsidRDefault="009B5EA3" w:rsidP="00604767">
      <w:pPr>
        <w:spacing w:after="0" w:line="240" w:lineRule="auto"/>
        <w:ind w:left="426" w:hanging="426"/>
        <w:rPr>
          <w:rFonts w:ascii="Times New Roman" w:hAnsi="Times New Roman"/>
          <w:noProof/>
          <w:lang w:val="lv-LV"/>
        </w:rPr>
      </w:pPr>
      <w:r>
        <w:rPr>
          <w:rFonts w:ascii="Times New Roman" w:hAnsi="Times New Roman"/>
          <w:lang w:val="lv-LV"/>
        </w:rPr>
        <w:t xml:space="preserve"> </w:t>
      </w:r>
      <w:r w:rsidR="00604767">
        <w:rPr>
          <w:rFonts w:ascii="Times New Roman" w:hAnsi="Times New Roman"/>
          <w:lang w:val="lv-LV"/>
        </w:rPr>
        <w:t xml:space="preserve"> </w:t>
      </w:r>
      <w:r w:rsidR="00800D19">
        <w:rPr>
          <w:rFonts w:ascii="Times New Roman" w:hAnsi="Times New Roman"/>
          <w:lang w:val="lv-LV"/>
        </w:rPr>
        <w:t xml:space="preserve">  </w:t>
      </w:r>
      <w:r w:rsidR="00604767">
        <w:rPr>
          <w:rFonts w:ascii="Times New Roman" w:hAnsi="Times New Roman"/>
          <w:vanish/>
          <w:lang w:val="lv-LV"/>
        </w:rPr>
        <w:t>_______________________________________________________________________________________________________________________________</w:t>
      </w:r>
      <w:r>
        <w:rPr>
          <w:rFonts w:ascii="Times New Roman" w:hAnsi="Times New Roman"/>
          <w:vanish/>
          <w:lang w:val="lv-LV"/>
        </w:rPr>
        <w:t xml:space="preserve">         jas Nr.:katīta 04/2016________________________________________________________________________________________________</w:t>
      </w:r>
      <w:r w:rsidR="0065138A" w:rsidRPr="004B3AF9">
        <w:rPr>
          <w:rFonts w:ascii="Times New Roman" w:hAnsi="Times New Roman"/>
          <w:lang w:val="lv-LV"/>
        </w:rPr>
        <w:t>Ieteicamās devas ir:</w:t>
      </w:r>
    </w:p>
    <w:p w:rsidR="0065138A" w:rsidRPr="00912B05" w:rsidRDefault="0065138A" w:rsidP="009B5EA3">
      <w:pPr>
        <w:spacing w:after="0" w:line="240" w:lineRule="auto"/>
        <w:ind w:left="360"/>
        <w:jc w:val="both"/>
        <w:rPr>
          <w:rFonts w:ascii="Times New Roman" w:hAnsi="Times New Roman"/>
          <w:sz w:val="16"/>
          <w:szCs w:val="16"/>
          <w:lang w:val="lv-LV"/>
        </w:rPr>
      </w:pPr>
    </w:p>
    <w:p w:rsidR="0065138A" w:rsidRPr="004B3AF9" w:rsidRDefault="0065138A" w:rsidP="009B5EA3">
      <w:pPr>
        <w:spacing w:after="0" w:line="240" w:lineRule="auto"/>
        <w:ind w:left="360"/>
        <w:rPr>
          <w:rFonts w:ascii="Times New Roman" w:hAnsi="Times New Roman"/>
          <w:lang w:val="lv-LV"/>
        </w:rPr>
      </w:pPr>
      <w:r w:rsidRPr="004B3AF9">
        <w:rPr>
          <w:rFonts w:ascii="Times New Roman" w:hAnsi="Times New Roman"/>
          <w:lang w:val="lv-LV"/>
        </w:rPr>
        <w:t>Pieaugušiem 10-20 pilieni (5-10 mg) dienā. Sāciet ar 10 pilieniem. Devu var paaugstināt līdz maksimāli 20 pilieniem. Nepārsniedziet maksimālo 20 pilienu dienas devu.</w:t>
      </w:r>
    </w:p>
    <w:p w:rsidR="0065138A" w:rsidRPr="0073490E" w:rsidRDefault="0065138A" w:rsidP="009B5EA3">
      <w:pPr>
        <w:keepNext/>
        <w:spacing w:after="0" w:line="240" w:lineRule="auto"/>
        <w:ind w:left="360"/>
        <w:jc w:val="both"/>
        <w:outlineLvl w:val="7"/>
        <w:rPr>
          <w:rFonts w:ascii="Times New Roman" w:hAnsi="Times New Roman"/>
          <w:sz w:val="16"/>
          <w:szCs w:val="16"/>
          <w:lang w:val="lv-LV"/>
        </w:rPr>
      </w:pPr>
    </w:p>
    <w:p w:rsidR="0065138A" w:rsidRPr="004B3AF9" w:rsidRDefault="0065138A" w:rsidP="009B5EA3">
      <w:pPr>
        <w:keepNext/>
        <w:spacing w:after="0" w:line="240" w:lineRule="auto"/>
        <w:ind w:left="360"/>
        <w:jc w:val="both"/>
        <w:outlineLvl w:val="7"/>
        <w:rPr>
          <w:rFonts w:ascii="Times New Roman" w:hAnsi="Times New Roman"/>
          <w:i/>
          <w:lang w:val="lv-LV"/>
        </w:rPr>
      </w:pPr>
      <w:r w:rsidRPr="004B3AF9">
        <w:rPr>
          <w:rFonts w:ascii="Times New Roman" w:hAnsi="Times New Roman"/>
          <w:i/>
          <w:lang w:val="lv-LV"/>
        </w:rPr>
        <w:t>Bērni un pusaudži</w:t>
      </w:r>
    </w:p>
    <w:p w:rsidR="0065138A" w:rsidRPr="004B3AF9" w:rsidRDefault="0065138A" w:rsidP="009B5EA3">
      <w:pPr>
        <w:spacing w:after="0" w:line="240" w:lineRule="auto"/>
        <w:ind w:left="360"/>
        <w:rPr>
          <w:rFonts w:ascii="Times New Roman" w:hAnsi="Times New Roman"/>
          <w:lang w:val="lv-LV"/>
        </w:rPr>
      </w:pPr>
      <w:r w:rsidRPr="004B3AF9">
        <w:rPr>
          <w:rFonts w:ascii="Times New Roman" w:hAnsi="Times New Roman"/>
          <w:lang w:val="lv-LV"/>
        </w:rPr>
        <w:t>Bērniem no 10 gadu vecuma 10-20 pilieni (5-10 mg) dienā. Sāciet ar 10 pilieniem. Devu var paaugstināt līdz maksimāli 20 pilieniem. Nepārsniedziet maksimālo 20 pilienu dienas devu.</w:t>
      </w:r>
    </w:p>
    <w:p w:rsidR="0065138A" w:rsidRPr="0073490E" w:rsidRDefault="0065138A" w:rsidP="009B5EA3">
      <w:pPr>
        <w:keepNext/>
        <w:spacing w:after="0" w:line="240" w:lineRule="auto"/>
        <w:ind w:left="360"/>
        <w:jc w:val="both"/>
        <w:outlineLvl w:val="7"/>
        <w:rPr>
          <w:rFonts w:ascii="Times New Roman" w:hAnsi="Times New Roman"/>
          <w:sz w:val="16"/>
          <w:szCs w:val="16"/>
          <w:lang w:val="lv-LV"/>
        </w:rPr>
      </w:pPr>
      <w:r w:rsidRPr="0073490E">
        <w:rPr>
          <w:rFonts w:ascii="Times New Roman" w:hAnsi="Times New Roman"/>
          <w:sz w:val="16"/>
          <w:szCs w:val="16"/>
          <w:lang w:val="lv-LV"/>
        </w:rPr>
        <w:t xml:space="preserve">                        </w:t>
      </w:r>
    </w:p>
    <w:p w:rsidR="0065138A" w:rsidRPr="004B3AF9" w:rsidRDefault="0065138A" w:rsidP="009B5EA3">
      <w:pPr>
        <w:spacing w:after="0" w:line="240" w:lineRule="auto"/>
        <w:ind w:left="360"/>
        <w:rPr>
          <w:rFonts w:ascii="Times New Roman" w:hAnsi="Times New Roman"/>
          <w:lang w:val="lv-LV"/>
        </w:rPr>
      </w:pPr>
      <w:r w:rsidRPr="004B3AF9">
        <w:rPr>
          <w:rFonts w:ascii="Times New Roman" w:hAnsi="Times New Roman"/>
          <w:lang w:val="lv-LV"/>
        </w:rPr>
        <w:t>Bērniem no 4 līdz 10 gadu vecumam 5-10 pilieni (2,5-5 mg) dienā. Sāciet ar 5 pilieniem. Devu var paaugstināt līdz maksimāli 10 pilieniem. Nepārsniedziet maksimālo 10 pilienu dienas devu.</w:t>
      </w:r>
    </w:p>
    <w:p w:rsidR="0065138A" w:rsidRPr="0073490E" w:rsidRDefault="0065138A" w:rsidP="009B5EA3">
      <w:pPr>
        <w:keepNext/>
        <w:spacing w:after="0" w:line="240" w:lineRule="auto"/>
        <w:ind w:left="360"/>
        <w:outlineLvl w:val="7"/>
        <w:rPr>
          <w:rFonts w:ascii="Times New Roman" w:hAnsi="Times New Roman"/>
          <w:sz w:val="16"/>
          <w:szCs w:val="16"/>
          <w:lang w:val="lv-LV"/>
        </w:rPr>
      </w:pPr>
    </w:p>
    <w:p w:rsidR="0065138A" w:rsidRPr="004B3AF9" w:rsidRDefault="0065138A" w:rsidP="009B5EA3">
      <w:pPr>
        <w:pStyle w:val="Heading3"/>
        <w:spacing w:line="240" w:lineRule="auto"/>
        <w:ind w:left="360" w:firstLine="0"/>
        <w:rPr>
          <w:sz w:val="22"/>
          <w:szCs w:val="22"/>
          <w:lang w:val="lv-LV"/>
        </w:rPr>
      </w:pPr>
      <w:r w:rsidRPr="004B3AF9">
        <w:rPr>
          <w:sz w:val="22"/>
          <w:szCs w:val="22"/>
          <w:lang w:val="lv-LV"/>
        </w:rPr>
        <w:t>Bērniem līdz 4 gadu vecumam ieteicamā dienas deva ir 1 piliens uz 2 kg ķermeņa masas (0,25 mg/dienā uz ķermeņa masas kilogramu).</w:t>
      </w:r>
    </w:p>
    <w:p w:rsidR="0065138A" w:rsidRPr="0073490E" w:rsidRDefault="0065138A" w:rsidP="009B5EA3">
      <w:pPr>
        <w:keepNext/>
        <w:spacing w:after="0" w:line="240" w:lineRule="auto"/>
        <w:ind w:left="360"/>
        <w:outlineLvl w:val="2"/>
        <w:rPr>
          <w:rFonts w:ascii="Times New Roman" w:hAnsi="Times New Roman"/>
          <w:b/>
          <w:sz w:val="16"/>
          <w:szCs w:val="16"/>
          <w:lang w:val="lv-LV"/>
        </w:rPr>
      </w:pPr>
    </w:p>
    <w:p w:rsidR="0065138A" w:rsidRPr="004B3AF9" w:rsidRDefault="0065138A" w:rsidP="009B5EA3">
      <w:pPr>
        <w:spacing w:after="0" w:line="240" w:lineRule="auto"/>
        <w:ind w:left="360"/>
        <w:jc w:val="both"/>
        <w:rPr>
          <w:rFonts w:ascii="Times New Roman" w:hAnsi="Times New Roman"/>
          <w:i/>
          <w:lang w:val="lv-LV"/>
        </w:rPr>
      </w:pPr>
      <w:r w:rsidRPr="004B3AF9">
        <w:rPr>
          <w:rFonts w:ascii="Times New Roman" w:hAnsi="Times New Roman"/>
          <w:i/>
          <w:lang w:val="lv-LV"/>
        </w:rPr>
        <w:t>Lietošanas veids</w:t>
      </w:r>
    </w:p>
    <w:p w:rsidR="0065138A" w:rsidRPr="004B3AF9" w:rsidRDefault="0065138A" w:rsidP="009B5EA3">
      <w:pPr>
        <w:spacing w:after="0" w:line="240" w:lineRule="auto"/>
        <w:ind w:left="360"/>
        <w:rPr>
          <w:rFonts w:ascii="Times New Roman" w:hAnsi="Times New Roman"/>
          <w:lang w:val="lv-LV"/>
        </w:rPr>
      </w:pPr>
      <w:r w:rsidRPr="004B3AF9">
        <w:rPr>
          <w:rFonts w:ascii="Times New Roman" w:hAnsi="Times New Roman"/>
          <w:lang w:val="lv-LV"/>
        </w:rPr>
        <w:t xml:space="preserve">GUTTALAX lietojams vakarā, lai panāktu vēdera izeju nākamajā rītā. Zāļu darbība parasti sākas pēc 6-12 stundām. </w:t>
      </w:r>
    </w:p>
    <w:p w:rsidR="0065138A" w:rsidRPr="0073490E" w:rsidRDefault="0065138A" w:rsidP="0073490E">
      <w:pPr>
        <w:numPr>
          <w:ilvl w:val="12"/>
          <w:numId w:val="2"/>
        </w:numPr>
        <w:spacing w:after="0" w:line="240" w:lineRule="auto"/>
        <w:rPr>
          <w:rFonts w:ascii="Times New Roman" w:hAnsi="Times New Roman"/>
          <w:noProof/>
          <w:sz w:val="16"/>
          <w:szCs w:val="16"/>
          <w:lang w:val="lv-LV"/>
        </w:rPr>
      </w:pPr>
    </w:p>
    <w:p w:rsidR="0065138A" w:rsidRPr="004B3AF9" w:rsidRDefault="0065138A" w:rsidP="0073490E">
      <w:pPr>
        <w:numPr>
          <w:ilvl w:val="12"/>
          <w:numId w:val="2"/>
        </w:numPr>
        <w:spacing w:after="0" w:line="240" w:lineRule="auto"/>
        <w:rPr>
          <w:rFonts w:ascii="Times New Roman" w:hAnsi="Times New Roman"/>
          <w:noProof/>
          <w:lang w:val="lv-LV"/>
        </w:rPr>
      </w:pPr>
      <w:r w:rsidRPr="004B3AF9">
        <w:rPr>
          <w:rFonts w:ascii="Times New Roman" w:hAnsi="Times New Roman"/>
          <w:b/>
          <w:noProof/>
          <w:lang w:val="lv-LV"/>
        </w:rPr>
        <w:t xml:space="preserve">Ja esat lietojis </w:t>
      </w:r>
      <w:r w:rsidRPr="004B3AF9">
        <w:rPr>
          <w:rFonts w:ascii="Times New Roman" w:hAnsi="Times New Roman"/>
          <w:b/>
          <w:lang w:val="lv-LV"/>
        </w:rPr>
        <w:t xml:space="preserve">GUTTALAX </w:t>
      </w:r>
      <w:r w:rsidRPr="004B3AF9">
        <w:rPr>
          <w:rFonts w:ascii="Times New Roman" w:hAnsi="Times New Roman"/>
          <w:b/>
          <w:noProof/>
          <w:lang w:val="lv-LV"/>
        </w:rPr>
        <w:t>vairāk nekā noteikts</w:t>
      </w:r>
    </w:p>
    <w:p w:rsidR="0065138A" w:rsidRPr="004B3AF9" w:rsidRDefault="0065138A" w:rsidP="0073490E">
      <w:pPr>
        <w:spacing w:after="0" w:line="240" w:lineRule="auto"/>
        <w:ind w:left="360"/>
        <w:jc w:val="both"/>
        <w:rPr>
          <w:rFonts w:ascii="Times New Roman" w:hAnsi="Times New Roman"/>
          <w:iCs/>
          <w:lang w:val="lv-LV"/>
        </w:rPr>
      </w:pPr>
      <w:r w:rsidRPr="004B3AF9">
        <w:rPr>
          <w:rFonts w:ascii="Times New Roman" w:hAnsi="Times New Roman"/>
          <w:iCs/>
          <w:lang w:val="lv-LV"/>
        </w:rPr>
        <w:t>Ja esat lietojis GUTTALAX vairāk nekā noteikts, konsultējieties ar ārstu vai farmaceitu.</w:t>
      </w:r>
    </w:p>
    <w:p w:rsidR="0065138A" w:rsidRPr="004B3AF9" w:rsidRDefault="0065138A" w:rsidP="0073490E">
      <w:pPr>
        <w:spacing w:after="0" w:line="240" w:lineRule="auto"/>
        <w:ind w:left="360"/>
        <w:rPr>
          <w:rFonts w:ascii="Times New Roman" w:hAnsi="Times New Roman"/>
          <w:lang w:val="lv-LV"/>
        </w:rPr>
      </w:pPr>
    </w:p>
    <w:p w:rsidR="0065138A" w:rsidRPr="004B3AF9" w:rsidRDefault="0065138A" w:rsidP="0073490E">
      <w:pPr>
        <w:spacing w:after="0" w:line="240" w:lineRule="auto"/>
        <w:ind w:left="360"/>
        <w:rPr>
          <w:rFonts w:ascii="Times New Roman" w:hAnsi="Times New Roman"/>
          <w:lang w:val="lv-LV"/>
        </w:rPr>
      </w:pPr>
      <w:r w:rsidRPr="004B3AF9">
        <w:rPr>
          <w:rFonts w:ascii="Times New Roman" w:hAnsi="Times New Roman"/>
          <w:lang w:val="lv-LV"/>
        </w:rPr>
        <w:t>Ja esat lietojis lielas devas, tad iespējama ūdeņaina vēdera izeja (caureja), vēdergraizes un klīniski nozīmīgs šķidruma, kālija un citu elektrolītu zudums.</w:t>
      </w:r>
    </w:p>
    <w:p w:rsidR="0065138A" w:rsidRPr="0073490E" w:rsidRDefault="0065138A" w:rsidP="0073490E">
      <w:pPr>
        <w:spacing w:after="0" w:line="240" w:lineRule="auto"/>
        <w:ind w:left="360"/>
        <w:rPr>
          <w:rFonts w:ascii="Times New Roman" w:hAnsi="Times New Roman"/>
          <w:sz w:val="16"/>
          <w:szCs w:val="16"/>
          <w:lang w:val="lv-LV"/>
        </w:rPr>
      </w:pPr>
    </w:p>
    <w:p w:rsidR="0065138A" w:rsidRPr="004B3AF9" w:rsidRDefault="0065138A" w:rsidP="0073490E">
      <w:pPr>
        <w:spacing w:after="0" w:line="240" w:lineRule="auto"/>
        <w:ind w:left="360"/>
        <w:rPr>
          <w:rFonts w:ascii="Times New Roman" w:hAnsi="Times New Roman"/>
          <w:lang w:val="lv-LV"/>
        </w:rPr>
      </w:pPr>
      <w:r w:rsidRPr="004B3AF9">
        <w:rPr>
          <w:rFonts w:ascii="Times New Roman" w:hAnsi="Times New Roman"/>
          <w:lang w:val="lv-LV"/>
        </w:rPr>
        <w:t>Turklāt novēroti resnās zarnas gļotādas išēmijas gadījumi, ja lietotas GUTTALAX devas, kas būtiski pārsniedza aizcietējumu korekcijai parasti rekomendētās.</w:t>
      </w:r>
    </w:p>
    <w:p w:rsidR="0065138A" w:rsidRPr="0073490E" w:rsidRDefault="0065138A" w:rsidP="0073490E">
      <w:pPr>
        <w:spacing w:after="0" w:line="240" w:lineRule="auto"/>
        <w:ind w:left="360"/>
        <w:jc w:val="both"/>
        <w:rPr>
          <w:rFonts w:ascii="Times New Roman" w:hAnsi="Times New Roman"/>
          <w:sz w:val="16"/>
          <w:szCs w:val="16"/>
          <w:lang w:val="lv-LV"/>
        </w:rPr>
      </w:pPr>
    </w:p>
    <w:p w:rsidR="0065138A" w:rsidRPr="004B3AF9" w:rsidRDefault="0065138A" w:rsidP="0073490E">
      <w:pPr>
        <w:spacing w:after="0" w:line="240" w:lineRule="auto"/>
        <w:ind w:left="360"/>
        <w:rPr>
          <w:rFonts w:ascii="Times New Roman" w:hAnsi="Times New Roman"/>
          <w:lang w:val="lv-LV"/>
        </w:rPr>
      </w:pPr>
      <w:r w:rsidRPr="004B3AF9">
        <w:rPr>
          <w:rFonts w:ascii="Times New Roman" w:hAnsi="Times New Roman"/>
          <w:lang w:val="lv-LV"/>
        </w:rPr>
        <w:t>GUTTALAX, tāpat kā citu vēdera izeju veicinošu līdzekļu hroniska pārdozēšana var būt par cēloni hroniskai caurejai, sāpēm vēderā, zemam kālija līmenim asinīs, sekundāram hiperaldosteronismam (paaugstināts hormona- aldosterona līmenis, kas kontrolē nātrija un kālija līmeni asinīs) un nierakmeņiem. Saistībā ar hronisku pārmērīgu vēdera izeju veicinošu līdzekļu lietošanu novērots arī tubulārs nieru bojājums (nieru kanāliņu izmaiņas), metaboliska alkaloze (stāvoklis, kad organismā ir vairāk sārmaina nekā skāba vide) un muskuļu vājums zema kālija līmeņa asinīs dēļ.</w:t>
      </w:r>
    </w:p>
    <w:p w:rsidR="0065138A" w:rsidRPr="0073490E" w:rsidRDefault="0065138A" w:rsidP="0073490E">
      <w:pPr>
        <w:numPr>
          <w:ilvl w:val="12"/>
          <w:numId w:val="2"/>
        </w:numPr>
        <w:spacing w:after="0" w:line="240" w:lineRule="auto"/>
        <w:rPr>
          <w:rFonts w:ascii="Times New Roman" w:hAnsi="Times New Roman"/>
          <w:b/>
          <w:noProof/>
          <w:sz w:val="16"/>
          <w:szCs w:val="16"/>
          <w:lang w:val="lv-LV"/>
        </w:rPr>
      </w:pPr>
    </w:p>
    <w:p w:rsidR="0065138A" w:rsidRPr="004B3AF9" w:rsidRDefault="0065138A" w:rsidP="0073490E">
      <w:pPr>
        <w:numPr>
          <w:ilvl w:val="12"/>
          <w:numId w:val="2"/>
        </w:numPr>
        <w:spacing w:after="0" w:line="240" w:lineRule="auto"/>
        <w:rPr>
          <w:rFonts w:ascii="Times New Roman" w:hAnsi="Times New Roman"/>
          <w:noProof/>
          <w:lang w:val="lv-LV"/>
        </w:rPr>
      </w:pPr>
      <w:r w:rsidRPr="004B3AF9">
        <w:rPr>
          <w:rFonts w:ascii="Times New Roman" w:hAnsi="Times New Roman"/>
          <w:b/>
          <w:noProof/>
          <w:lang w:val="lv-LV"/>
        </w:rPr>
        <w:t xml:space="preserve">Ja esat aizmirsis lietot </w:t>
      </w:r>
      <w:r w:rsidRPr="004B3AF9">
        <w:rPr>
          <w:rFonts w:ascii="Times New Roman" w:hAnsi="Times New Roman"/>
          <w:b/>
          <w:lang w:val="lv-LV"/>
        </w:rPr>
        <w:t xml:space="preserve">GUTTALAX </w:t>
      </w:r>
    </w:p>
    <w:p w:rsidR="0065138A" w:rsidRPr="004B3AF9" w:rsidRDefault="0065138A" w:rsidP="0073490E">
      <w:pPr>
        <w:spacing w:after="0" w:line="240" w:lineRule="auto"/>
        <w:ind w:left="360"/>
        <w:rPr>
          <w:rFonts w:ascii="Times New Roman" w:hAnsi="Times New Roman"/>
          <w:lang w:val="lv-LV"/>
        </w:rPr>
      </w:pPr>
      <w:r w:rsidRPr="004B3AF9">
        <w:rPr>
          <w:rFonts w:ascii="Times New Roman" w:hAnsi="Times New Roman"/>
          <w:lang w:val="lv-LV"/>
        </w:rPr>
        <w:t>Ja esat aizmirsis iedzert GUTTALAX, lietojiet to tiklīdz atceraties, bet nelietojiet dubultu devu, lai aizvietotu aizmirsto devu.</w:t>
      </w:r>
    </w:p>
    <w:p w:rsidR="0065138A" w:rsidRPr="0073490E" w:rsidRDefault="0065138A" w:rsidP="0073490E">
      <w:pPr>
        <w:spacing w:after="0" w:line="240" w:lineRule="auto"/>
        <w:ind w:left="360"/>
        <w:rPr>
          <w:rFonts w:ascii="Times New Roman" w:hAnsi="Times New Roman"/>
          <w:sz w:val="16"/>
          <w:szCs w:val="16"/>
          <w:lang w:val="lv-LV"/>
        </w:rPr>
      </w:pPr>
    </w:p>
    <w:p w:rsidR="0065138A" w:rsidRPr="004B3AF9" w:rsidRDefault="0065138A" w:rsidP="0073490E">
      <w:pPr>
        <w:spacing w:after="0" w:line="240" w:lineRule="auto"/>
        <w:ind w:firstLine="426"/>
        <w:rPr>
          <w:rFonts w:ascii="Times New Roman" w:hAnsi="Times New Roman"/>
          <w:noProof/>
          <w:lang w:val="lv-LV"/>
        </w:rPr>
      </w:pPr>
      <w:r w:rsidRPr="004B3AF9">
        <w:rPr>
          <w:rFonts w:ascii="Times New Roman" w:hAnsi="Times New Roman"/>
          <w:b/>
          <w:noProof/>
          <w:lang w:val="lv-LV"/>
        </w:rPr>
        <w:t xml:space="preserve">Ja Jūs pārtraucat lietot </w:t>
      </w:r>
      <w:r w:rsidRPr="004B3AF9">
        <w:rPr>
          <w:rFonts w:ascii="Times New Roman" w:hAnsi="Times New Roman"/>
          <w:b/>
          <w:lang w:val="lv-LV"/>
        </w:rPr>
        <w:t xml:space="preserve">GUTTALAX </w:t>
      </w:r>
    </w:p>
    <w:p w:rsidR="0065138A" w:rsidRPr="004B3AF9" w:rsidRDefault="0065138A" w:rsidP="0073490E">
      <w:pPr>
        <w:spacing w:after="0" w:line="240" w:lineRule="auto"/>
        <w:ind w:left="360" w:firstLine="66"/>
        <w:rPr>
          <w:rFonts w:ascii="Times New Roman" w:hAnsi="Times New Roman"/>
          <w:lang w:val="lv-LV"/>
        </w:rPr>
      </w:pPr>
      <w:r w:rsidRPr="004B3AF9">
        <w:rPr>
          <w:rFonts w:ascii="Times New Roman" w:hAnsi="Times New Roman"/>
          <w:lang w:val="lv-LV"/>
        </w:rPr>
        <w:t>GUTTALAX ir jālieto tikai pēc vajadzības un pēc efekta sasniegšanas tā lietošana ir jāpārtrauc.</w:t>
      </w:r>
    </w:p>
    <w:p w:rsidR="0065138A" w:rsidRPr="0073490E" w:rsidRDefault="0065138A" w:rsidP="0073490E">
      <w:pPr>
        <w:spacing w:after="0" w:line="240" w:lineRule="auto"/>
        <w:ind w:left="360" w:firstLine="66"/>
        <w:rPr>
          <w:rFonts w:ascii="Times New Roman" w:hAnsi="Times New Roman"/>
          <w:sz w:val="16"/>
          <w:szCs w:val="16"/>
          <w:lang w:val="lv-LV"/>
        </w:rPr>
      </w:pPr>
    </w:p>
    <w:p w:rsidR="0065138A" w:rsidRPr="004B3AF9" w:rsidRDefault="0065138A" w:rsidP="0073490E">
      <w:pPr>
        <w:spacing w:after="0" w:line="240" w:lineRule="auto"/>
        <w:ind w:left="426"/>
        <w:rPr>
          <w:rFonts w:ascii="Times New Roman" w:hAnsi="Times New Roman"/>
          <w:noProof/>
          <w:lang w:val="lv-LV"/>
        </w:rPr>
      </w:pPr>
      <w:r w:rsidRPr="004B3AF9">
        <w:rPr>
          <w:rFonts w:ascii="Times New Roman" w:hAnsi="Times New Roman"/>
          <w:noProof/>
          <w:lang w:val="lv-LV"/>
        </w:rPr>
        <w:t>Ja Jums ir kādi jautājumi par šo zāļu lietošanu, jautājiet savam ārstam vai farmaceitam.</w:t>
      </w:r>
    </w:p>
    <w:p w:rsidR="006E223A" w:rsidRPr="004B3AF9" w:rsidRDefault="006E223A" w:rsidP="0073490E">
      <w:pPr>
        <w:pStyle w:val="Default"/>
        <w:ind w:firstLine="426"/>
        <w:jc w:val="both"/>
        <w:rPr>
          <w:sz w:val="16"/>
          <w:szCs w:val="16"/>
          <w:lang w:val="lv-LV"/>
        </w:rPr>
      </w:pPr>
    </w:p>
    <w:p w:rsidR="006E223A" w:rsidRPr="004B3AF9" w:rsidRDefault="006E223A" w:rsidP="0073490E">
      <w:pPr>
        <w:pStyle w:val="Default"/>
        <w:numPr>
          <w:ilvl w:val="0"/>
          <w:numId w:val="2"/>
        </w:numPr>
        <w:jc w:val="both"/>
        <w:rPr>
          <w:b/>
          <w:bCs/>
          <w:sz w:val="22"/>
          <w:szCs w:val="22"/>
          <w:lang w:val="lv-LV"/>
        </w:rPr>
      </w:pPr>
      <w:r w:rsidRPr="004B3AF9">
        <w:rPr>
          <w:b/>
          <w:bCs/>
          <w:sz w:val="22"/>
          <w:szCs w:val="22"/>
          <w:lang w:val="lv-LV"/>
        </w:rPr>
        <w:t xml:space="preserve">IESPĒJAMĀS BLAKUSPARĀDĪBAS </w:t>
      </w:r>
    </w:p>
    <w:p w:rsidR="006E223A" w:rsidRPr="0073490E" w:rsidRDefault="006E223A" w:rsidP="0073490E">
      <w:pPr>
        <w:pStyle w:val="Default"/>
        <w:ind w:left="360"/>
        <w:jc w:val="both"/>
        <w:rPr>
          <w:sz w:val="16"/>
          <w:szCs w:val="16"/>
          <w:lang w:val="lv-LV"/>
        </w:rPr>
      </w:pPr>
    </w:p>
    <w:p w:rsidR="00733555" w:rsidRPr="004B3AF9" w:rsidRDefault="00733555" w:rsidP="0073490E">
      <w:pPr>
        <w:numPr>
          <w:ilvl w:val="12"/>
          <w:numId w:val="0"/>
        </w:numPr>
        <w:spacing w:after="0" w:line="240" w:lineRule="auto"/>
        <w:rPr>
          <w:rFonts w:ascii="Times New Roman" w:hAnsi="Times New Roman"/>
          <w:noProof/>
          <w:lang w:val="lv-LV"/>
        </w:rPr>
      </w:pPr>
      <w:r w:rsidRPr="004B3AF9">
        <w:rPr>
          <w:rFonts w:ascii="Times New Roman" w:hAnsi="Times New Roman"/>
          <w:noProof/>
          <w:lang w:val="lv-LV"/>
        </w:rPr>
        <w:t xml:space="preserve">Tāpat kā visas zāles, </w:t>
      </w:r>
      <w:r w:rsidRPr="004B3AF9">
        <w:rPr>
          <w:rFonts w:ascii="Times New Roman" w:hAnsi="Times New Roman"/>
          <w:lang w:val="lv-LV"/>
        </w:rPr>
        <w:t xml:space="preserve">GUTTALAX </w:t>
      </w:r>
      <w:r w:rsidRPr="004B3AF9">
        <w:rPr>
          <w:rFonts w:ascii="Times New Roman" w:hAnsi="Times New Roman"/>
          <w:noProof/>
          <w:lang w:val="lv-LV"/>
        </w:rPr>
        <w:t>var izraisīt blakusparādības, kaut arī ne visiem tās izpaužas.</w:t>
      </w:r>
    </w:p>
    <w:p w:rsidR="00733555" w:rsidRPr="0073490E" w:rsidRDefault="00733555" w:rsidP="0073490E">
      <w:pPr>
        <w:spacing w:after="0" w:line="240" w:lineRule="auto"/>
        <w:rPr>
          <w:rFonts w:ascii="Times New Roman" w:hAnsi="Times New Roman"/>
          <w:sz w:val="16"/>
          <w:szCs w:val="16"/>
          <w:lang w:val="lv-LV"/>
        </w:rPr>
      </w:pPr>
    </w:p>
    <w:p w:rsidR="00733555" w:rsidRPr="004B3AF9" w:rsidRDefault="00733555" w:rsidP="0073490E">
      <w:pPr>
        <w:spacing w:after="0" w:line="240" w:lineRule="auto"/>
        <w:rPr>
          <w:rFonts w:ascii="Times New Roman" w:hAnsi="Times New Roman"/>
          <w:i/>
          <w:lang w:val="lv-LV"/>
        </w:rPr>
      </w:pPr>
      <w:r w:rsidRPr="004B3AF9">
        <w:rPr>
          <w:rFonts w:ascii="Times New Roman" w:hAnsi="Times New Roman"/>
          <w:lang w:val="lv-LV"/>
        </w:rPr>
        <w:t>Blakusparādību biežuma iedalījums ir sekojošs:</w:t>
      </w:r>
      <w:r w:rsidRPr="004B3AF9">
        <w:rPr>
          <w:rFonts w:ascii="Times New Roman" w:hAnsi="Times New Roman"/>
          <w:i/>
          <w:lang w:val="lv-LV"/>
        </w:rPr>
        <w:t xml:space="preserve"> </w:t>
      </w:r>
    </w:p>
    <w:p w:rsidR="00733555" w:rsidRPr="0073490E" w:rsidRDefault="00733555" w:rsidP="0073490E">
      <w:pPr>
        <w:spacing w:after="0" w:line="240" w:lineRule="auto"/>
        <w:rPr>
          <w:rFonts w:ascii="Times New Roman" w:hAnsi="Times New Roman"/>
          <w:sz w:val="16"/>
          <w:szCs w:val="16"/>
          <w:lang w:val="lv-LV"/>
        </w:rPr>
      </w:pPr>
    </w:p>
    <w:p w:rsidR="00733555" w:rsidRPr="004B3AF9" w:rsidRDefault="00733555" w:rsidP="0073490E">
      <w:pPr>
        <w:spacing w:after="0" w:line="240" w:lineRule="auto"/>
        <w:rPr>
          <w:rFonts w:ascii="Times New Roman" w:hAnsi="Times New Roman"/>
          <w:i/>
          <w:lang w:val="lv-LV"/>
        </w:rPr>
      </w:pPr>
      <w:r w:rsidRPr="004B3AF9">
        <w:rPr>
          <w:rFonts w:ascii="Times New Roman" w:hAnsi="Times New Roman"/>
          <w:i/>
          <w:lang w:val="lv-LV"/>
        </w:rPr>
        <w:t>Ļoti bieži (var skart vairāk kā 1 no 10 cilvēkiem)</w:t>
      </w:r>
    </w:p>
    <w:p w:rsidR="00733555" w:rsidRPr="004B3AF9" w:rsidRDefault="00733555" w:rsidP="0073490E">
      <w:pPr>
        <w:numPr>
          <w:ilvl w:val="0"/>
          <w:numId w:val="9"/>
        </w:numPr>
        <w:spacing w:after="0" w:line="240" w:lineRule="auto"/>
        <w:rPr>
          <w:rFonts w:ascii="Times New Roman" w:hAnsi="Times New Roman"/>
          <w:lang w:val="lv-LV"/>
        </w:rPr>
      </w:pPr>
      <w:r w:rsidRPr="004B3AF9">
        <w:rPr>
          <w:rFonts w:ascii="Times New Roman" w:hAnsi="Times New Roman"/>
        </w:rPr>
        <w:t>caureja</w:t>
      </w:r>
    </w:p>
    <w:p w:rsidR="00733555" w:rsidRPr="00807D35" w:rsidRDefault="00733555" w:rsidP="0073490E">
      <w:pPr>
        <w:spacing w:after="0" w:line="240" w:lineRule="auto"/>
        <w:rPr>
          <w:rFonts w:ascii="Times New Roman" w:hAnsi="Times New Roman"/>
          <w:sz w:val="16"/>
          <w:szCs w:val="16"/>
          <w:lang w:val="lv-LV"/>
        </w:rPr>
      </w:pPr>
    </w:p>
    <w:p w:rsidR="00733555" w:rsidRPr="004B3AF9" w:rsidRDefault="00733555" w:rsidP="0073490E">
      <w:pPr>
        <w:spacing w:after="0" w:line="240" w:lineRule="auto"/>
        <w:rPr>
          <w:rFonts w:ascii="Times New Roman" w:hAnsi="Times New Roman"/>
          <w:i/>
          <w:lang w:val="lv-LV"/>
        </w:rPr>
      </w:pPr>
      <w:r w:rsidRPr="004B3AF9">
        <w:rPr>
          <w:rFonts w:ascii="Times New Roman" w:hAnsi="Times New Roman"/>
          <w:i/>
          <w:lang w:val="lv-LV"/>
        </w:rPr>
        <w:t>Bieži (var skart līdz 1 no 10 cilvēkiem)</w:t>
      </w:r>
      <w:r w:rsidRPr="004B3AF9">
        <w:rPr>
          <w:rFonts w:ascii="Times New Roman" w:hAnsi="Times New Roman"/>
          <w:i/>
          <w:lang w:val="lv-LV"/>
        </w:rPr>
        <w:tab/>
      </w:r>
      <w:r w:rsidRPr="004B3AF9">
        <w:rPr>
          <w:rFonts w:ascii="Times New Roman" w:hAnsi="Times New Roman"/>
          <w:i/>
          <w:lang w:val="lv-LV"/>
        </w:rPr>
        <w:tab/>
      </w:r>
    </w:p>
    <w:p w:rsidR="00733555" w:rsidRPr="004B3AF9" w:rsidRDefault="00733555" w:rsidP="0073490E">
      <w:pPr>
        <w:numPr>
          <w:ilvl w:val="0"/>
          <w:numId w:val="9"/>
        </w:numPr>
        <w:spacing w:after="0" w:line="240" w:lineRule="auto"/>
        <w:rPr>
          <w:rFonts w:ascii="Times New Roman" w:hAnsi="Times New Roman"/>
          <w:lang w:val="lv-LV"/>
        </w:rPr>
      </w:pPr>
      <w:r w:rsidRPr="004B3AF9">
        <w:rPr>
          <w:rFonts w:ascii="Times New Roman" w:hAnsi="Times New Roman"/>
        </w:rPr>
        <w:t>krampji vēderā</w:t>
      </w:r>
    </w:p>
    <w:p w:rsidR="00733555" w:rsidRPr="004B3AF9" w:rsidRDefault="00733555" w:rsidP="0073490E">
      <w:pPr>
        <w:numPr>
          <w:ilvl w:val="0"/>
          <w:numId w:val="9"/>
        </w:numPr>
        <w:spacing w:after="0" w:line="240" w:lineRule="auto"/>
        <w:rPr>
          <w:rFonts w:ascii="Times New Roman" w:hAnsi="Times New Roman"/>
          <w:lang w:val="lv-LV"/>
        </w:rPr>
      </w:pPr>
      <w:r w:rsidRPr="004B3AF9">
        <w:rPr>
          <w:rFonts w:ascii="Times New Roman" w:hAnsi="Times New Roman"/>
        </w:rPr>
        <w:t>vēdera sāpes</w:t>
      </w:r>
    </w:p>
    <w:p w:rsidR="00733555" w:rsidRPr="004B3AF9" w:rsidRDefault="00733555" w:rsidP="0073490E">
      <w:pPr>
        <w:numPr>
          <w:ilvl w:val="0"/>
          <w:numId w:val="9"/>
        </w:numPr>
        <w:spacing w:after="0" w:line="240" w:lineRule="auto"/>
        <w:rPr>
          <w:rFonts w:ascii="Times New Roman" w:hAnsi="Times New Roman"/>
          <w:lang w:val="lv-LV"/>
        </w:rPr>
      </w:pPr>
      <w:r w:rsidRPr="004B3AF9">
        <w:rPr>
          <w:rFonts w:ascii="Times New Roman" w:hAnsi="Times New Roman"/>
        </w:rPr>
        <w:t>nepatīkamas sajūtas vēderā</w:t>
      </w:r>
    </w:p>
    <w:p w:rsidR="00733555" w:rsidRPr="00807D35" w:rsidRDefault="00733555" w:rsidP="0073490E">
      <w:pPr>
        <w:spacing w:after="0" w:line="240" w:lineRule="auto"/>
        <w:rPr>
          <w:rFonts w:ascii="Times New Roman" w:hAnsi="Times New Roman"/>
          <w:sz w:val="16"/>
          <w:szCs w:val="16"/>
          <w:lang w:val="lv-LV"/>
        </w:rPr>
      </w:pPr>
    </w:p>
    <w:p w:rsidR="00733555" w:rsidRPr="004B3AF9" w:rsidRDefault="00733555" w:rsidP="0073490E">
      <w:pPr>
        <w:spacing w:after="0" w:line="240" w:lineRule="auto"/>
        <w:rPr>
          <w:rFonts w:ascii="Times New Roman" w:hAnsi="Times New Roman"/>
          <w:i/>
          <w:lang w:val="lv-LV"/>
        </w:rPr>
      </w:pPr>
      <w:r w:rsidRPr="004B3AF9">
        <w:rPr>
          <w:rFonts w:ascii="Times New Roman" w:hAnsi="Times New Roman"/>
          <w:i/>
          <w:lang w:val="lv-LV"/>
        </w:rPr>
        <w:t>Retāk (var skart līdz 1 no 100 cilvēkiem)</w:t>
      </w:r>
    </w:p>
    <w:p w:rsidR="00733555" w:rsidRPr="004B3AF9" w:rsidRDefault="00733555" w:rsidP="0073490E">
      <w:pPr>
        <w:numPr>
          <w:ilvl w:val="0"/>
          <w:numId w:val="10"/>
        </w:numPr>
        <w:spacing w:after="0" w:line="240" w:lineRule="auto"/>
        <w:rPr>
          <w:rFonts w:ascii="Times New Roman" w:hAnsi="Times New Roman"/>
          <w:lang w:val="lv-LV"/>
        </w:rPr>
      </w:pPr>
      <w:r w:rsidRPr="004B3AF9">
        <w:rPr>
          <w:rFonts w:ascii="Times New Roman" w:hAnsi="Times New Roman"/>
        </w:rPr>
        <w:t>vemšana</w:t>
      </w:r>
    </w:p>
    <w:p w:rsidR="00733555" w:rsidRPr="004B3AF9" w:rsidRDefault="00733555" w:rsidP="0073490E">
      <w:pPr>
        <w:numPr>
          <w:ilvl w:val="0"/>
          <w:numId w:val="10"/>
        </w:numPr>
        <w:spacing w:after="0" w:line="240" w:lineRule="auto"/>
        <w:rPr>
          <w:rFonts w:ascii="Times New Roman" w:hAnsi="Times New Roman"/>
          <w:lang w:val="lv-LV"/>
        </w:rPr>
      </w:pPr>
      <w:r w:rsidRPr="004B3AF9">
        <w:rPr>
          <w:rFonts w:ascii="Times New Roman" w:hAnsi="Times New Roman"/>
        </w:rPr>
        <w:t>slikta dūša</w:t>
      </w:r>
    </w:p>
    <w:p w:rsidR="00733555" w:rsidRPr="004B3AF9" w:rsidRDefault="00733555" w:rsidP="0073490E">
      <w:pPr>
        <w:numPr>
          <w:ilvl w:val="0"/>
          <w:numId w:val="10"/>
        </w:numPr>
        <w:spacing w:after="0" w:line="240" w:lineRule="auto"/>
        <w:rPr>
          <w:rFonts w:ascii="Times New Roman" w:hAnsi="Times New Roman"/>
          <w:lang w:val="lv-LV"/>
        </w:rPr>
      </w:pPr>
      <w:r w:rsidRPr="004B3AF9">
        <w:rPr>
          <w:rFonts w:ascii="Times New Roman" w:hAnsi="Times New Roman"/>
        </w:rPr>
        <w:t>reibonis</w:t>
      </w:r>
    </w:p>
    <w:p w:rsidR="00733555" w:rsidRPr="00807D35" w:rsidRDefault="00733555" w:rsidP="0073490E">
      <w:pPr>
        <w:spacing w:after="0" w:line="240" w:lineRule="auto"/>
        <w:rPr>
          <w:rFonts w:ascii="Times New Roman" w:hAnsi="Times New Roman"/>
          <w:sz w:val="16"/>
          <w:szCs w:val="16"/>
          <w:lang w:val="lv-LV"/>
        </w:rPr>
      </w:pPr>
    </w:p>
    <w:p w:rsidR="00733555" w:rsidRPr="004B3AF9" w:rsidRDefault="00733555" w:rsidP="0073490E">
      <w:pPr>
        <w:numPr>
          <w:ilvl w:val="12"/>
          <w:numId w:val="0"/>
        </w:numPr>
        <w:spacing w:after="0" w:line="240" w:lineRule="auto"/>
        <w:ind w:left="567" w:hanging="567"/>
        <w:rPr>
          <w:rFonts w:ascii="Times New Roman" w:hAnsi="Times New Roman"/>
          <w:i/>
          <w:noProof/>
          <w:lang w:val="lv-LV"/>
        </w:rPr>
      </w:pPr>
      <w:r w:rsidRPr="004B3AF9">
        <w:rPr>
          <w:rFonts w:ascii="Times New Roman" w:hAnsi="Times New Roman"/>
          <w:i/>
          <w:noProof/>
          <w:lang w:val="lv-LV"/>
        </w:rPr>
        <w:t>Nav zināms (nevar noteikt pēc pieejamiem datiem)</w:t>
      </w:r>
    </w:p>
    <w:p w:rsidR="00733555" w:rsidRPr="004B3AF9" w:rsidRDefault="00733555" w:rsidP="0073490E">
      <w:pPr>
        <w:numPr>
          <w:ilvl w:val="0"/>
          <w:numId w:val="11"/>
        </w:numPr>
        <w:spacing w:after="0" w:line="240" w:lineRule="auto"/>
        <w:rPr>
          <w:rFonts w:ascii="Times New Roman" w:hAnsi="Times New Roman"/>
          <w:i/>
          <w:iCs/>
          <w:lang w:val="lv-LV"/>
        </w:rPr>
      </w:pPr>
      <w:r w:rsidRPr="004B3AF9">
        <w:rPr>
          <w:rFonts w:ascii="Times New Roman" w:hAnsi="Times New Roman"/>
          <w:lang w:val="lv-LV"/>
        </w:rPr>
        <w:t>ādas reakcijas tādas kā</w:t>
      </w:r>
    </w:p>
    <w:p w:rsidR="00733555" w:rsidRPr="004B3AF9" w:rsidRDefault="00733555" w:rsidP="0073490E">
      <w:pPr>
        <w:numPr>
          <w:ilvl w:val="0"/>
          <w:numId w:val="12"/>
        </w:numPr>
        <w:spacing w:after="0" w:line="240" w:lineRule="auto"/>
        <w:rPr>
          <w:rFonts w:ascii="Times New Roman" w:hAnsi="Times New Roman"/>
          <w:i/>
          <w:iCs/>
          <w:lang w:val="lv-LV"/>
        </w:rPr>
      </w:pPr>
      <w:r w:rsidRPr="004B3AF9">
        <w:rPr>
          <w:rFonts w:ascii="Times New Roman" w:hAnsi="Times New Roman"/>
          <w:lang w:val="lv-LV"/>
        </w:rPr>
        <w:t>pēkšņs ādas vai gļotādas pietūkums, kas var izsaukt elpošanas grūtības (angioneirotiska tūska)</w:t>
      </w:r>
    </w:p>
    <w:p w:rsidR="00733555" w:rsidRPr="004B3AF9" w:rsidRDefault="00733555" w:rsidP="0073490E">
      <w:pPr>
        <w:numPr>
          <w:ilvl w:val="0"/>
          <w:numId w:val="12"/>
        </w:numPr>
        <w:spacing w:after="0" w:line="240" w:lineRule="auto"/>
        <w:rPr>
          <w:rFonts w:ascii="Times New Roman" w:hAnsi="Times New Roman"/>
          <w:i/>
          <w:iCs/>
          <w:lang w:val="lv-LV"/>
        </w:rPr>
      </w:pPr>
      <w:r w:rsidRPr="004B3AF9">
        <w:rPr>
          <w:rFonts w:ascii="Times New Roman" w:hAnsi="Times New Roman"/>
          <w:lang w:val="lv-LV"/>
        </w:rPr>
        <w:t>zāļu izraisīti izsitumi (izsitumi vai ādas bojājums)</w:t>
      </w:r>
    </w:p>
    <w:p w:rsidR="00733555" w:rsidRPr="004B3AF9" w:rsidRDefault="00733555" w:rsidP="0073490E">
      <w:pPr>
        <w:numPr>
          <w:ilvl w:val="0"/>
          <w:numId w:val="12"/>
        </w:numPr>
        <w:spacing w:after="0" w:line="240" w:lineRule="auto"/>
        <w:rPr>
          <w:rFonts w:ascii="Times New Roman" w:hAnsi="Times New Roman"/>
          <w:i/>
          <w:iCs/>
          <w:lang w:val="lv-LV"/>
        </w:rPr>
      </w:pPr>
      <w:r w:rsidRPr="004B3AF9">
        <w:rPr>
          <w:rFonts w:ascii="Times New Roman" w:hAnsi="Times New Roman"/>
          <w:lang w:val="lv-LV"/>
        </w:rPr>
        <w:t>izsitumi</w:t>
      </w:r>
    </w:p>
    <w:p w:rsidR="00733555" w:rsidRPr="004B3AF9" w:rsidRDefault="00733555" w:rsidP="0073490E">
      <w:pPr>
        <w:numPr>
          <w:ilvl w:val="0"/>
          <w:numId w:val="12"/>
        </w:numPr>
        <w:spacing w:after="0" w:line="240" w:lineRule="auto"/>
        <w:rPr>
          <w:rFonts w:ascii="Times New Roman" w:hAnsi="Times New Roman"/>
          <w:i/>
          <w:iCs/>
          <w:lang w:val="lv-LV"/>
        </w:rPr>
      </w:pPr>
      <w:r w:rsidRPr="004B3AF9">
        <w:rPr>
          <w:rFonts w:ascii="Times New Roman" w:hAnsi="Times New Roman"/>
          <w:lang w:val="lv-LV"/>
        </w:rPr>
        <w:t>nieze</w:t>
      </w:r>
    </w:p>
    <w:p w:rsidR="00733555" w:rsidRPr="004B3AF9" w:rsidRDefault="00733555" w:rsidP="0073490E">
      <w:pPr>
        <w:numPr>
          <w:ilvl w:val="0"/>
          <w:numId w:val="11"/>
        </w:numPr>
        <w:spacing w:after="0" w:line="240" w:lineRule="auto"/>
        <w:rPr>
          <w:rFonts w:ascii="Times New Roman" w:hAnsi="Times New Roman"/>
          <w:i/>
          <w:iCs/>
          <w:lang w:val="lv-LV"/>
        </w:rPr>
      </w:pPr>
      <w:r w:rsidRPr="004B3AF9">
        <w:rPr>
          <w:rFonts w:ascii="Times New Roman" w:hAnsi="Times New Roman"/>
          <w:lang w:val="lv-LV"/>
        </w:rPr>
        <w:t>ģībonis</w:t>
      </w:r>
    </w:p>
    <w:p w:rsidR="00733555" w:rsidRPr="00807D35" w:rsidRDefault="00733555" w:rsidP="0073490E">
      <w:pPr>
        <w:spacing w:after="0" w:line="240" w:lineRule="auto"/>
        <w:rPr>
          <w:rFonts w:ascii="Times New Roman" w:hAnsi="Times New Roman"/>
          <w:i/>
          <w:iCs/>
          <w:sz w:val="16"/>
          <w:szCs w:val="16"/>
          <w:lang w:val="lv-LV"/>
        </w:rPr>
      </w:pPr>
    </w:p>
    <w:p w:rsidR="00733555" w:rsidRPr="004B3AF9" w:rsidRDefault="00733555" w:rsidP="0073490E">
      <w:pPr>
        <w:spacing w:after="0" w:line="240" w:lineRule="auto"/>
        <w:rPr>
          <w:rFonts w:ascii="Times New Roman" w:hAnsi="Times New Roman"/>
          <w:lang w:val="lv-LV"/>
        </w:rPr>
      </w:pPr>
      <w:r w:rsidRPr="004B3AF9">
        <w:rPr>
          <w:rFonts w:ascii="Times New Roman" w:hAnsi="Times New Roman"/>
          <w:lang w:val="lv-LV"/>
        </w:rPr>
        <w:t>Reibonis un ģībonis, ko novēroja pēc nātrija pikosulfāta lietošanas, bija saistīts ar vēdera aizcietējumu (piepūli vēdera izejas laikā, vēdera sāpēm).</w:t>
      </w:r>
    </w:p>
    <w:p w:rsidR="00733555" w:rsidRPr="00807D35" w:rsidRDefault="00733555" w:rsidP="0073490E">
      <w:pPr>
        <w:spacing w:after="0" w:line="240" w:lineRule="auto"/>
        <w:rPr>
          <w:rFonts w:ascii="Times New Roman" w:hAnsi="Times New Roman"/>
          <w:sz w:val="16"/>
          <w:szCs w:val="16"/>
          <w:lang w:val="lv-LV"/>
        </w:rPr>
      </w:pPr>
    </w:p>
    <w:p w:rsidR="00733555" w:rsidRPr="004B3AF9" w:rsidRDefault="00733555" w:rsidP="0073490E">
      <w:pPr>
        <w:numPr>
          <w:ilvl w:val="12"/>
          <w:numId w:val="0"/>
        </w:numPr>
        <w:spacing w:after="0" w:line="240" w:lineRule="auto"/>
        <w:ind w:right="-2"/>
        <w:rPr>
          <w:rFonts w:ascii="Times New Roman" w:hAnsi="Times New Roman"/>
          <w:i/>
          <w:lang w:val="lv-LV"/>
        </w:rPr>
      </w:pPr>
      <w:r w:rsidRPr="004B3AF9">
        <w:rPr>
          <w:rFonts w:ascii="Times New Roman" w:hAnsi="Times New Roman"/>
          <w:i/>
          <w:lang w:val="lv-LV"/>
        </w:rPr>
        <w:t>Ziņošana par blakusparādībām</w:t>
      </w:r>
    </w:p>
    <w:p w:rsidR="00733555" w:rsidRPr="004B3AF9" w:rsidRDefault="00733555" w:rsidP="0073490E">
      <w:pPr>
        <w:numPr>
          <w:ilvl w:val="12"/>
          <w:numId w:val="0"/>
        </w:numPr>
        <w:spacing w:after="0" w:line="240" w:lineRule="auto"/>
        <w:ind w:right="-2"/>
        <w:rPr>
          <w:rFonts w:ascii="Times New Roman" w:hAnsi="Times New Roman"/>
          <w:lang w:val="lv-LV"/>
        </w:rPr>
      </w:pPr>
      <w:r w:rsidRPr="004B3AF9">
        <w:rPr>
          <w:rFonts w:ascii="Times New Roman" w:hAnsi="Times New Roman"/>
          <w:lang w:val="lv-LV"/>
        </w:rPr>
        <w:t xml:space="preserve">Ja Jums rodas jebkādas blakusparādības, konsultējieties ar ārstu vai farmaceitu. Tas attiecas arī uz iespējamām blakusparādībām, kas nav minētas šajā instrukcijā. Jūs varat ziņot par blakusparādībām arī tieši Zāļu valsts aģentūrai, Jersikas ielā15, Rīgā, LV 1003. Tālr.: +371 67078400; Fakss: +371 67078428.Tīmekļa vietne: </w:t>
      </w:r>
      <w:hyperlink r:id="rId7" w:history="1">
        <w:r w:rsidRPr="004B3AF9">
          <w:rPr>
            <w:rStyle w:val="Hyperlink"/>
            <w:rFonts w:ascii="Times New Roman" w:hAnsi="Times New Roman"/>
            <w:lang w:val="lv-LV"/>
          </w:rPr>
          <w:t>www.zva.gov.lv</w:t>
        </w:r>
      </w:hyperlink>
      <w:r w:rsidRPr="004B3AF9">
        <w:rPr>
          <w:rFonts w:ascii="Times New Roman" w:hAnsi="Times New Roman"/>
          <w:lang w:val="lv-LV"/>
        </w:rPr>
        <w:t>.</w:t>
      </w:r>
    </w:p>
    <w:p w:rsidR="00733555" w:rsidRPr="004B3AF9" w:rsidRDefault="00733555" w:rsidP="0073490E">
      <w:pPr>
        <w:numPr>
          <w:ilvl w:val="12"/>
          <w:numId w:val="0"/>
        </w:numPr>
        <w:spacing w:after="0" w:line="240" w:lineRule="auto"/>
        <w:ind w:right="-2"/>
        <w:rPr>
          <w:rFonts w:ascii="Times New Roman" w:hAnsi="Times New Roman"/>
          <w:lang w:val="lv-LV"/>
        </w:rPr>
      </w:pPr>
      <w:r w:rsidRPr="004B3AF9">
        <w:rPr>
          <w:rFonts w:ascii="Times New Roman" w:hAnsi="Times New Roman"/>
          <w:lang w:val="lv-LV"/>
        </w:rPr>
        <w:t>Ziņojot par blakusparādībām, Jūs varat palīdzēt nodrošināt daudz plašāku informāciju par šo zāļu drošumu.</w:t>
      </w:r>
    </w:p>
    <w:p w:rsidR="006E223A" w:rsidRDefault="006E223A" w:rsidP="00807D35">
      <w:pPr>
        <w:pStyle w:val="Default"/>
        <w:numPr>
          <w:ilvl w:val="0"/>
          <w:numId w:val="2"/>
        </w:numPr>
        <w:jc w:val="both"/>
        <w:rPr>
          <w:b/>
          <w:bCs/>
          <w:sz w:val="22"/>
          <w:szCs w:val="22"/>
          <w:lang w:val="lv-LV"/>
        </w:rPr>
      </w:pPr>
      <w:r w:rsidRPr="004B3AF9">
        <w:rPr>
          <w:b/>
          <w:bCs/>
          <w:sz w:val="22"/>
          <w:szCs w:val="22"/>
          <w:lang w:val="lv-LV"/>
        </w:rPr>
        <w:t xml:space="preserve">KĀ UZGLABĀT GUTTALAX </w:t>
      </w:r>
    </w:p>
    <w:p w:rsidR="00807D35" w:rsidRPr="00807D35" w:rsidRDefault="00807D35" w:rsidP="00807D35">
      <w:pPr>
        <w:pStyle w:val="Default"/>
        <w:ind w:left="720"/>
        <w:jc w:val="both"/>
        <w:rPr>
          <w:sz w:val="16"/>
          <w:szCs w:val="16"/>
          <w:lang w:val="lv-LV"/>
        </w:rPr>
      </w:pPr>
    </w:p>
    <w:p w:rsidR="00733555" w:rsidRPr="004B3AF9" w:rsidRDefault="00733555" w:rsidP="00807D35">
      <w:pPr>
        <w:spacing w:after="0" w:line="240" w:lineRule="auto"/>
        <w:rPr>
          <w:rFonts w:ascii="Times New Roman" w:hAnsi="Times New Roman"/>
          <w:noProof/>
          <w:lang w:val="lv-LV"/>
        </w:rPr>
      </w:pPr>
      <w:r w:rsidRPr="004B3AF9">
        <w:rPr>
          <w:rFonts w:ascii="Times New Roman" w:hAnsi="Times New Roman"/>
          <w:noProof/>
          <w:lang w:val="lv-LV"/>
        </w:rPr>
        <w:t xml:space="preserve">Uzglabāt temperatūrā līdz 30ºC. </w:t>
      </w:r>
    </w:p>
    <w:p w:rsidR="00733555" w:rsidRPr="004B3AF9" w:rsidRDefault="00733555" w:rsidP="00807D35">
      <w:pPr>
        <w:spacing w:after="0" w:line="240" w:lineRule="auto"/>
        <w:rPr>
          <w:rFonts w:ascii="Times New Roman" w:hAnsi="Times New Roman"/>
          <w:noProof/>
          <w:lang w:val="lv-LV"/>
        </w:rPr>
      </w:pPr>
      <w:r w:rsidRPr="004B3AF9">
        <w:rPr>
          <w:rFonts w:ascii="Times New Roman" w:hAnsi="Times New Roman"/>
          <w:noProof/>
          <w:lang w:val="lv-LV"/>
        </w:rPr>
        <w:t>Uzglabāt bērniem neredzamā un nepieejamā vietā.</w:t>
      </w:r>
    </w:p>
    <w:p w:rsidR="00733555" w:rsidRPr="004B3AF9" w:rsidRDefault="00733555" w:rsidP="00807D35">
      <w:pPr>
        <w:numPr>
          <w:ilvl w:val="12"/>
          <w:numId w:val="0"/>
        </w:numPr>
        <w:spacing w:after="0" w:line="240" w:lineRule="auto"/>
        <w:rPr>
          <w:rFonts w:ascii="Times New Roman" w:eastAsia="PMingLiU" w:hAnsi="Times New Roman"/>
          <w:noProof/>
          <w:lang w:val="lv-LV" w:eastAsia="zh-TW"/>
        </w:rPr>
      </w:pPr>
      <w:r w:rsidRPr="004B3AF9">
        <w:rPr>
          <w:rFonts w:ascii="Times New Roman" w:eastAsia="PMingLiU" w:hAnsi="Times New Roman"/>
          <w:noProof/>
          <w:lang w:val="lv-LV" w:eastAsia="zh-TW"/>
        </w:rPr>
        <w:t>Pēc pudelītes pirmās atvēršanas derīgs 12 mēnešus.</w:t>
      </w:r>
    </w:p>
    <w:p w:rsidR="00733555" w:rsidRPr="00807D35" w:rsidRDefault="00733555" w:rsidP="00807D35">
      <w:pPr>
        <w:numPr>
          <w:ilvl w:val="12"/>
          <w:numId w:val="0"/>
        </w:numPr>
        <w:spacing w:after="0" w:line="240" w:lineRule="auto"/>
        <w:rPr>
          <w:rFonts w:ascii="Times New Roman" w:hAnsi="Times New Roman"/>
          <w:noProof/>
          <w:sz w:val="16"/>
          <w:szCs w:val="16"/>
          <w:lang w:val="lv-LV" w:eastAsia="lv-LV"/>
        </w:rPr>
      </w:pPr>
    </w:p>
    <w:p w:rsidR="006E223A" w:rsidRPr="004B3AF9" w:rsidRDefault="006E223A" w:rsidP="00807D35">
      <w:pPr>
        <w:pStyle w:val="Default"/>
        <w:jc w:val="both"/>
        <w:rPr>
          <w:sz w:val="22"/>
          <w:szCs w:val="22"/>
          <w:lang w:val="lv-LV"/>
        </w:rPr>
      </w:pPr>
      <w:r w:rsidRPr="004B3AF9">
        <w:rPr>
          <w:b/>
          <w:bCs/>
          <w:sz w:val="22"/>
          <w:szCs w:val="22"/>
          <w:lang w:val="lv-LV"/>
        </w:rPr>
        <w:t xml:space="preserve">6. IEPAKOJUMA SATURS UN CITA INFORMĀCIJA </w:t>
      </w:r>
    </w:p>
    <w:p w:rsidR="00B659BA" w:rsidRPr="00B659BA" w:rsidRDefault="00B659BA" w:rsidP="00807D35">
      <w:pPr>
        <w:numPr>
          <w:ilvl w:val="12"/>
          <w:numId w:val="0"/>
        </w:numPr>
        <w:spacing w:after="0" w:line="240" w:lineRule="auto"/>
        <w:ind w:left="567" w:hanging="567"/>
        <w:rPr>
          <w:rFonts w:ascii="Times New Roman" w:hAnsi="Times New Roman"/>
          <w:b/>
          <w:bCs/>
          <w:noProof/>
          <w:sz w:val="16"/>
          <w:szCs w:val="16"/>
          <w:lang w:val="lv-LV"/>
        </w:rPr>
      </w:pPr>
    </w:p>
    <w:p w:rsidR="00733555" w:rsidRPr="004B3AF9" w:rsidRDefault="00733555" w:rsidP="00807D35">
      <w:pPr>
        <w:numPr>
          <w:ilvl w:val="12"/>
          <w:numId w:val="0"/>
        </w:numPr>
        <w:spacing w:after="0" w:line="240" w:lineRule="auto"/>
        <w:ind w:left="567" w:hanging="567"/>
        <w:rPr>
          <w:rFonts w:ascii="Times New Roman" w:hAnsi="Times New Roman"/>
          <w:b/>
          <w:bCs/>
          <w:noProof/>
          <w:lang w:val="lv-LV"/>
        </w:rPr>
      </w:pPr>
      <w:r w:rsidRPr="004B3AF9">
        <w:rPr>
          <w:rFonts w:ascii="Times New Roman" w:hAnsi="Times New Roman"/>
          <w:b/>
          <w:bCs/>
          <w:noProof/>
          <w:lang w:val="lv-LV"/>
        </w:rPr>
        <w:t>Ko GUTTALAX satur</w:t>
      </w:r>
    </w:p>
    <w:p w:rsidR="00733555" w:rsidRPr="00026246" w:rsidRDefault="00733555" w:rsidP="00807D35">
      <w:pPr>
        <w:numPr>
          <w:ilvl w:val="0"/>
          <w:numId w:val="13"/>
        </w:numPr>
        <w:tabs>
          <w:tab w:val="num" w:pos="567"/>
        </w:tabs>
        <w:spacing w:after="0" w:line="240" w:lineRule="auto"/>
        <w:ind w:left="567" w:hanging="567"/>
        <w:rPr>
          <w:rFonts w:ascii="Times New Roman" w:hAnsi="Times New Roman"/>
          <w:lang w:val="lv-LV"/>
        </w:rPr>
      </w:pPr>
      <w:r w:rsidRPr="00026246">
        <w:rPr>
          <w:rFonts w:ascii="Times New Roman" w:hAnsi="Times New Roman"/>
          <w:noProof/>
          <w:lang w:val="lv-LV"/>
        </w:rPr>
        <w:t xml:space="preserve">Aktīvā viela ir </w:t>
      </w:r>
      <w:r w:rsidRPr="00026246">
        <w:rPr>
          <w:rFonts w:ascii="Times New Roman" w:hAnsi="Times New Roman"/>
          <w:lang w:val="lv-LV"/>
        </w:rPr>
        <w:t>nātrija pikosulfāts. 1 ml (=15 pilieni) satur 7,5 mg nātrija pikosulfāta</w:t>
      </w:r>
    </w:p>
    <w:p w:rsidR="00733555" w:rsidRPr="00026246" w:rsidRDefault="00733555" w:rsidP="00807D35">
      <w:pPr>
        <w:numPr>
          <w:ilvl w:val="0"/>
          <w:numId w:val="13"/>
        </w:numPr>
        <w:tabs>
          <w:tab w:val="num" w:pos="567"/>
        </w:tabs>
        <w:spacing w:after="0" w:line="240" w:lineRule="auto"/>
        <w:ind w:left="567" w:hanging="567"/>
        <w:rPr>
          <w:rFonts w:ascii="Times New Roman" w:hAnsi="Times New Roman"/>
          <w:b/>
          <w:sz w:val="36"/>
          <w:szCs w:val="36"/>
          <w:lang w:val="lv-LV"/>
        </w:rPr>
      </w:pPr>
      <w:r w:rsidRPr="00026246">
        <w:rPr>
          <w:rFonts w:ascii="Times New Roman" w:hAnsi="Times New Roman"/>
          <w:noProof/>
          <w:lang w:val="lv-LV"/>
        </w:rPr>
        <w:t xml:space="preserve">Citas sastāvdaļas ir </w:t>
      </w:r>
      <w:r w:rsidRPr="00026246">
        <w:rPr>
          <w:rFonts w:ascii="Times New Roman" w:hAnsi="Times New Roman"/>
          <w:lang w:val="lv-LV"/>
        </w:rPr>
        <w:t>70% sorbīta šķīdums,</w:t>
      </w:r>
      <w:r w:rsidR="00026246" w:rsidRPr="00026246">
        <w:rPr>
          <w:rFonts w:ascii="Times New Roman" w:hAnsi="Times New Roman"/>
          <w:lang w:val="lv-LV"/>
        </w:rPr>
        <w:t xml:space="preserve"> metilparabēns E218,</w:t>
      </w:r>
      <w:r w:rsidR="007F7780">
        <w:rPr>
          <w:rFonts w:ascii="Times New Roman" w:hAnsi="Times New Roman"/>
          <w:lang w:val="lv-LV"/>
        </w:rPr>
        <w:t xml:space="preserve"> </w:t>
      </w:r>
      <w:r w:rsidRPr="00026246">
        <w:rPr>
          <w:rFonts w:ascii="Times New Roman" w:hAnsi="Times New Roman"/>
          <w:lang w:val="lv-LV"/>
        </w:rPr>
        <w:t>attīrīts ūdens.</w:t>
      </w:r>
      <w:r w:rsidR="00026246" w:rsidRPr="00026246">
        <w:rPr>
          <w:rFonts w:ascii="Times New Roman" w:hAnsi="Times New Roman"/>
          <w:lang w:val="lv-LV"/>
        </w:rPr>
        <w:t xml:space="preserve">  </w:t>
      </w:r>
    </w:p>
    <w:p w:rsidR="00733555" w:rsidRPr="00B659BA" w:rsidRDefault="00733555" w:rsidP="00807D35">
      <w:pPr>
        <w:spacing w:after="0" w:line="240" w:lineRule="auto"/>
        <w:rPr>
          <w:rFonts w:ascii="Times New Roman" w:hAnsi="Times New Roman"/>
          <w:noProof/>
          <w:sz w:val="16"/>
          <w:szCs w:val="16"/>
          <w:lang w:val="lv-LV"/>
        </w:rPr>
      </w:pPr>
    </w:p>
    <w:p w:rsidR="00733555" w:rsidRPr="004B3AF9" w:rsidRDefault="00733555" w:rsidP="00807D35">
      <w:pPr>
        <w:spacing w:after="0" w:line="240" w:lineRule="auto"/>
        <w:rPr>
          <w:rFonts w:ascii="Times New Roman" w:hAnsi="Times New Roman"/>
          <w:b/>
          <w:bCs/>
          <w:noProof/>
          <w:lang w:val="lv-LV"/>
        </w:rPr>
      </w:pPr>
      <w:r w:rsidRPr="004B3AF9">
        <w:rPr>
          <w:rFonts w:ascii="Times New Roman" w:hAnsi="Times New Roman"/>
          <w:b/>
          <w:bCs/>
          <w:noProof/>
          <w:lang w:val="lv-LV"/>
        </w:rPr>
        <w:t>GUTTALAX ārējais izskats un iepakojums</w:t>
      </w:r>
    </w:p>
    <w:p w:rsidR="00733555" w:rsidRPr="004B3AF9" w:rsidRDefault="00733555" w:rsidP="00807D35">
      <w:pPr>
        <w:spacing w:after="0" w:line="240" w:lineRule="auto"/>
        <w:rPr>
          <w:rFonts w:ascii="Times New Roman" w:hAnsi="Times New Roman"/>
          <w:noProof/>
          <w:lang w:val="lv-LV"/>
        </w:rPr>
      </w:pPr>
      <w:r w:rsidRPr="004B3AF9">
        <w:rPr>
          <w:rFonts w:ascii="Times New Roman" w:hAnsi="Times New Roman"/>
          <w:lang w:val="lv-LV"/>
        </w:rPr>
        <w:t>Caurspīdīgs, bezkrāsains līdz dzeltenīgs vai viegli dzeltenīgi brūngans, vāji viskozs šķīdums.</w:t>
      </w:r>
    </w:p>
    <w:p w:rsidR="00733555" w:rsidRPr="004B3AF9" w:rsidRDefault="00733555" w:rsidP="00807D35">
      <w:pPr>
        <w:spacing w:after="0" w:line="240" w:lineRule="auto"/>
        <w:jc w:val="both"/>
        <w:rPr>
          <w:rFonts w:ascii="Times New Roman" w:hAnsi="Times New Roman"/>
          <w:lang w:val="lv-LV"/>
        </w:rPr>
      </w:pPr>
      <w:r w:rsidRPr="004B3AF9">
        <w:rPr>
          <w:rFonts w:ascii="Times New Roman" w:hAnsi="Times New Roman"/>
          <w:lang w:val="lv-LV"/>
        </w:rPr>
        <w:t xml:space="preserve">15 ml ABPE pudelīte, PE pilinātājs un polistirola vāciņš. </w:t>
      </w:r>
    </w:p>
    <w:p w:rsidR="006E223A" w:rsidRPr="00B659BA" w:rsidRDefault="006E223A" w:rsidP="006E223A">
      <w:pPr>
        <w:pStyle w:val="Default"/>
        <w:jc w:val="both"/>
        <w:rPr>
          <w:b/>
          <w:bCs/>
          <w:sz w:val="16"/>
          <w:szCs w:val="16"/>
          <w:lang w:val="lv-LV"/>
        </w:rPr>
      </w:pPr>
    </w:p>
    <w:p w:rsidR="006E223A" w:rsidRPr="004B3AF9" w:rsidRDefault="006E223A" w:rsidP="006E223A">
      <w:pPr>
        <w:pStyle w:val="Default"/>
        <w:jc w:val="both"/>
        <w:rPr>
          <w:sz w:val="22"/>
          <w:szCs w:val="22"/>
          <w:lang w:val="lv-LV"/>
        </w:rPr>
      </w:pPr>
      <w:r w:rsidRPr="004B3AF9">
        <w:rPr>
          <w:b/>
          <w:bCs/>
          <w:sz w:val="22"/>
          <w:szCs w:val="22"/>
          <w:lang w:val="lv-LV"/>
        </w:rPr>
        <w:t xml:space="preserve">Reģistrācijas apliecības īpašnieks </w:t>
      </w:r>
    </w:p>
    <w:p w:rsidR="00B659BA" w:rsidRPr="00B659BA" w:rsidRDefault="00B659BA" w:rsidP="00B659BA">
      <w:pPr>
        <w:autoSpaceDE w:val="0"/>
        <w:autoSpaceDN w:val="0"/>
        <w:adjustRightInd w:val="0"/>
        <w:spacing w:after="0" w:line="240" w:lineRule="auto"/>
        <w:rPr>
          <w:rFonts w:ascii="Times New Roman" w:hAnsi="Times New Roman"/>
          <w:lang w:val="lv-LV"/>
        </w:rPr>
      </w:pPr>
      <w:r w:rsidRPr="00B659BA">
        <w:rPr>
          <w:rFonts w:ascii="Times New Roman" w:hAnsi="Times New Roman"/>
          <w:lang w:val="lv-LV"/>
        </w:rPr>
        <w:t xml:space="preserve">Boehringer Ingelheim Hellas S.A. </w:t>
      </w:r>
    </w:p>
    <w:p w:rsidR="00B659BA" w:rsidRPr="00B659BA" w:rsidRDefault="00B659BA" w:rsidP="00B659BA">
      <w:pPr>
        <w:autoSpaceDE w:val="0"/>
        <w:autoSpaceDN w:val="0"/>
        <w:adjustRightInd w:val="0"/>
        <w:spacing w:after="0" w:line="240" w:lineRule="auto"/>
        <w:rPr>
          <w:rFonts w:ascii="Times New Roman" w:hAnsi="Times New Roman"/>
          <w:lang w:val="lv-LV"/>
        </w:rPr>
      </w:pPr>
      <w:r w:rsidRPr="00B659BA">
        <w:rPr>
          <w:rFonts w:ascii="Times New Roman" w:hAnsi="Times New Roman"/>
          <w:lang w:val="lv-LV"/>
        </w:rPr>
        <w:t xml:space="preserve">Ellinikou 2, 16777 Elliniko (Atēnas) </w:t>
      </w:r>
    </w:p>
    <w:p w:rsidR="00B659BA" w:rsidRPr="00B659BA" w:rsidRDefault="00B659BA" w:rsidP="00B659BA">
      <w:pPr>
        <w:autoSpaceDE w:val="0"/>
        <w:autoSpaceDN w:val="0"/>
        <w:adjustRightInd w:val="0"/>
        <w:spacing w:after="0" w:line="240" w:lineRule="auto"/>
        <w:rPr>
          <w:rFonts w:ascii="Times New Roman" w:hAnsi="Times New Roman"/>
          <w:lang w:val="lv-LV"/>
        </w:rPr>
      </w:pPr>
      <w:r w:rsidRPr="00B659BA">
        <w:rPr>
          <w:rFonts w:ascii="Times New Roman" w:hAnsi="Times New Roman"/>
          <w:lang w:val="lv-LV"/>
        </w:rPr>
        <w:t xml:space="preserve">Grieķija. </w:t>
      </w:r>
    </w:p>
    <w:p w:rsidR="006E223A" w:rsidRPr="00B659BA" w:rsidRDefault="006E223A" w:rsidP="00B659BA">
      <w:pPr>
        <w:pStyle w:val="Default"/>
        <w:jc w:val="both"/>
        <w:rPr>
          <w:b/>
          <w:bCs/>
          <w:sz w:val="16"/>
          <w:szCs w:val="16"/>
          <w:lang w:val="lv-LV"/>
        </w:rPr>
      </w:pPr>
    </w:p>
    <w:p w:rsidR="006E223A" w:rsidRPr="004B3AF9" w:rsidRDefault="006E223A" w:rsidP="006E223A">
      <w:pPr>
        <w:pStyle w:val="Default"/>
        <w:jc w:val="both"/>
        <w:rPr>
          <w:sz w:val="22"/>
          <w:szCs w:val="22"/>
          <w:lang w:val="lv-LV"/>
        </w:rPr>
      </w:pPr>
      <w:r w:rsidRPr="004B3AF9">
        <w:rPr>
          <w:b/>
          <w:bCs/>
          <w:sz w:val="22"/>
          <w:szCs w:val="22"/>
          <w:lang w:val="lv-LV"/>
        </w:rPr>
        <w:t xml:space="preserve">Ražotājs </w:t>
      </w:r>
    </w:p>
    <w:p w:rsidR="006E223A" w:rsidRPr="004B3AF9" w:rsidRDefault="006E223A" w:rsidP="006E223A">
      <w:pPr>
        <w:pStyle w:val="Default"/>
        <w:jc w:val="both"/>
        <w:rPr>
          <w:sz w:val="22"/>
          <w:szCs w:val="22"/>
          <w:lang w:val="lv-LV"/>
        </w:rPr>
      </w:pPr>
      <w:r w:rsidRPr="004B3AF9">
        <w:rPr>
          <w:sz w:val="22"/>
          <w:szCs w:val="22"/>
          <w:lang w:val="lv-LV"/>
        </w:rPr>
        <w:t xml:space="preserve">Istituto De Angeli S.r.l. </w:t>
      </w:r>
    </w:p>
    <w:p w:rsidR="006E223A" w:rsidRPr="004B3AF9" w:rsidRDefault="006E223A" w:rsidP="006E223A">
      <w:pPr>
        <w:pStyle w:val="Default"/>
        <w:jc w:val="both"/>
        <w:rPr>
          <w:sz w:val="22"/>
          <w:szCs w:val="22"/>
          <w:lang w:val="lv-LV"/>
        </w:rPr>
      </w:pPr>
      <w:r w:rsidRPr="004B3AF9">
        <w:rPr>
          <w:sz w:val="22"/>
          <w:szCs w:val="22"/>
          <w:lang w:val="lv-LV"/>
        </w:rPr>
        <w:t xml:space="preserve">Localita i Prulli No. 103/c </w:t>
      </w:r>
    </w:p>
    <w:p w:rsidR="006E223A" w:rsidRPr="004B3AF9" w:rsidRDefault="006E223A" w:rsidP="006E223A">
      <w:pPr>
        <w:pStyle w:val="Default"/>
        <w:jc w:val="both"/>
        <w:rPr>
          <w:sz w:val="22"/>
          <w:szCs w:val="22"/>
          <w:lang w:val="lv-LV"/>
        </w:rPr>
      </w:pPr>
      <w:r w:rsidRPr="004B3AF9">
        <w:rPr>
          <w:sz w:val="22"/>
          <w:szCs w:val="22"/>
          <w:lang w:val="lv-LV"/>
        </w:rPr>
        <w:t>I-50066 Reg</w:t>
      </w:r>
      <w:r w:rsidR="0072001C">
        <w:rPr>
          <w:sz w:val="22"/>
          <w:szCs w:val="22"/>
          <w:lang w:val="lv-LV"/>
        </w:rPr>
        <w:t>g</w:t>
      </w:r>
      <w:r w:rsidRPr="004B3AF9">
        <w:rPr>
          <w:sz w:val="22"/>
          <w:szCs w:val="22"/>
          <w:lang w:val="lv-LV"/>
        </w:rPr>
        <w:t xml:space="preserve">ello (FI) </w:t>
      </w:r>
    </w:p>
    <w:p w:rsidR="006E223A" w:rsidRPr="004B3AF9" w:rsidRDefault="006E223A" w:rsidP="006E223A">
      <w:pPr>
        <w:pStyle w:val="Default"/>
        <w:jc w:val="both"/>
        <w:rPr>
          <w:sz w:val="22"/>
          <w:szCs w:val="22"/>
          <w:lang w:val="lv-LV"/>
        </w:rPr>
      </w:pPr>
      <w:r w:rsidRPr="004B3AF9">
        <w:rPr>
          <w:sz w:val="22"/>
          <w:szCs w:val="22"/>
          <w:lang w:val="lv-LV"/>
        </w:rPr>
        <w:t xml:space="preserve">Itālija </w:t>
      </w:r>
    </w:p>
    <w:p w:rsidR="006E223A" w:rsidRPr="00B659BA" w:rsidRDefault="006E223A" w:rsidP="006E223A">
      <w:pPr>
        <w:pStyle w:val="Default"/>
        <w:jc w:val="both"/>
        <w:rPr>
          <w:sz w:val="16"/>
          <w:szCs w:val="16"/>
          <w:lang w:val="lv-LV"/>
        </w:rPr>
      </w:pPr>
    </w:p>
    <w:p w:rsidR="00733555" w:rsidRPr="004B3AF9" w:rsidRDefault="00733555" w:rsidP="00B659BA">
      <w:pPr>
        <w:pStyle w:val="Default"/>
        <w:ind w:right="-567"/>
        <w:jc w:val="both"/>
        <w:rPr>
          <w:sz w:val="22"/>
          <w:szCs w:val="22"/>
          <w:lang w:val="lv-LV"/>
        </w:rPr>
      </w:pPr>
      <w:r w:rsidRPr="004B3AF9">
        <w:rPr>
          <w:b/>
          <w:bCs/>
          <w:sz w:val="22"/>
          <w:szCs w:val="22"/>
          <w:lang w:val="lv-LV"/>
        </w:rPr>
        <w:t xml:space="preserve">Reģistrācijas Nr.I000318 </w:t>
      </w:r>
    </w:p>
    <w:p w:rsidR="00733555" w:rsidRPr="00B659BA" w:rsidRDefault="00733555" w:rsidP="00B659BA">
      <w:pPr>
        <w:pStyle w:val="Default"/>
        <w:rPr>
          <w:b/>
          <w:color w:val="auto"/>
          <w:sz w:val="16"/>
          <w:szCs w:val="16"/>
          <w:lang w:val="lv-LV"/>
        </w:rPr>
      </w:pPr>
    </w:p>
    <w:p w:rsidR="00733555" w:rsidRPr="004B3AF9" w:rsidRDefault="00733555" w:rsidP="00B659BA">
      <w:pPr>
        <w:spacing w:after="0" w:line="240" w:lineRule="auto"/>
        <w:jc w:val="both"/>
        <w:rPr>
          <w:rFonts w:ascii="Times New Roman" w:hAnsi="Times New Roman"/>
          <w:lang w:val="lv-LV"/>
        </w:rPr>
      </w:pPr>
      <w:r w:rsidRPr="004B3AF9">
        <w:rPr>
          <w:rFonts w:ascii="Times New Roman" w:hAnsi="Times New Roman"/>
          <w:lang w:val="lv-LV"/>
        </w:rPr>
        <w:t xml:space="preserve">Paralēli importēto zāļu izplatīšanas atļaujas turētājs un pārpakotājs: SIA  "Jelgavfarm", </w:t>
      </w:r>
    </w:p>
    <w:p w:rsidR="00733555" w:rsidRPr="004B3AF9" w:rsidRDefault="00733555" w:rsidP="00B659BA">
      <w:pPr>
        <w:spacing w:after="0" w:line="240" w:lineRule="auto"/>
        <w:rPr>
          <w:rFonts w:ascii="Times New Roman" w:hAnsi="Times New Roman"/>
        </w:rPr>
      </w:pPr>
      <w:r w:rsidRPr="004B3AF9">
        <w:rPr>
          <w:rFonts w:ascii="Times New Roman" w:hAnsi="Times New Roman"/>
          <w:lang w:val="lv-LV"/>
        </w:rPr>
        <w:t xml:space="preserve">Zemgales prospekts </w:t>
      </w:r>
      <w:r w:rsidRPr="004B3AF9">
        <w:rPr>
          <w:rFonts w:ascii="Times New Roman" w:hAnsi="Times New Roman"/>
        </w:rPr>
        <w:t>3, Jelgava, LV-3001, tel. 63022249</w:t>
      </w:r>
    </w:p>
    <w:p w:rsidR="00733555" w:rsidRPr="004B3AF9" w:rsidRDefault="00733555" w:rsidP="00B659BA">
      <w:pPr>
        <w:spacing w:after="0" w:line="240" w:lineRule="auto"/>
        <w:rPr>
          <w:rFonts w:ascii="Times New Roman" w:hAnsi="Times New Roman"/>
          <w:b/>
          <w:bCs/>
          <w:sz w:val="16"/>
          <w:szCs w:val="16"/>
        </w:rPr>
      </w:pPr>
    </w:p>
    <w:p w:rsidR="006E223A" w:rsidRPr="004B3AF9" w:rsidRDefault="006E223A" w:rsidP="00B659BA">
      <w:pPr>
        <w:numPr>
          <w:ilvl w:val="12"/>
          <w:numId w:val="0"/>
        </w:numPr>
        <w:spacing w:after="0" w:line="240" w:lineRule="auto"/>
        <w:rPr>
          <w:rFonts w:ascii="Times New Roman" w:hAnsi="Times New Roman"/>
          <w:b/>
          <w:noProof/>
          <w:lang w:val="lv-LV"/>
        </w:rPr>
      </w:pPr>
      <w:r w:rsidRPr="004B3AF9">
        <w:rPr>
          <w:rFonts w:ascii="Times New Roman" w:hAnsi="Times New Roman"/>
          <w:b/>
          <w:noProof/>
          <w:lang w:val="lv-LV"/>
        </w:rPr>
        <w:t xml:space="preserve">Šī lietošanas </w:t>
      </w:r>
      <w:smartTag w:uri="schemas-tilde-lv/tildestengine" w:element="veidnes">
        <w:smartTagPr>
          <w:attr w:name="text" w:val="instrukcija"/>
          <w:attr w:name="baseform" w:val="instrukcija"/>
          <w:attr w:name="id" w:val="-1"/>
        </w:smartTagPr>
        <w:r w:rsidRPr="004B3AF9">
          <w:rPr>
            <w:rFonts w:ascii="Times New Roman" w:hAnsi="Times New Roman"/>
            <w:b/>
            <w:noProof/>
            <w:lang w:val="lv-LV"/>
          </w:rPr>
          <w:t>instrukcija</w:t>
        </w:r>
      </w:smartTag>
      <w:r w:rsidR="00733555" w:rsidRPr="004B3AF9">
        <w:rPr>
          <w:rFonts w:ascii="Times New Roman" w:hAnsi="Times New Roman"/>
          <w:b/>
          <w:noProof/>
          <w:lang w:val="lv-LV"/>
        </w:rPr>
        <w:t xml:space="preserve"> pēdējo reizi pārskatīta 04/2016</w:t>
      </w:r>
    </w:p>
    <w:p w:rsidR="006E223A" w:rsidRPr="004B3AF9" w:rsidRDefault="006E223A" w:rsidP="00B659BA">
      <w:pPr>
        <w:pStyle w:val="Default"/>
        <w:ind w:right="-567"/>
        <w:jc w:val="both"/>
        <w:rPr>
          <w:b/>
          <w:bCs/>
          <w:sz w:val="22"/>
          <w:szCs w:val="22"/>
          <w:lang w:val="lv-LV"/>
        </w:rPr>
      </w:pPr>
    </w:p>
    <w:p w:rsidR="00733555" w:rsidRPr="004B3AF9" w:rsidRDefault="00733555" w:rsidP="00B659BA">
      <w:pPr>
        <w:pStyle w:val="BodyText"/>
        <w:spacing w:line="240" w:lineRule="auto"/>
        <w:rPr>
          <w:sz w:val="22"/>
          <w:szCs w:val="22"/>
          <w:lang w:val="lv-LV"/>
        </w:rPr>
      </w:pPr>
      <w:r w:rsidRPr="004B3AF9">
        <w:rPr>
          <w:sz w:val="22"/>
          <w:szCs w:val="22"/>
          <w:lang w:val="lv-LV"/>
        </w:rPr>
        <w:t xml:space="preserve">Sīkāk informācija par šīm zālēm ir pieejama ZVA mājas lapā </w:t>
      </w:r>
      <w:hyperlink r:id="rId8" w:history="1">
        <w:r w:rsidRPr="004B3AF9">
          <w:rPr>
            <w:rStyle w:val="Hyperlink"/>
            <w:sz w:val="22"/>
            <w:szCs w:val="22"/>
            <w:lang w:val="lv-LV"/>
          </w:rPr>
          <w:t>http://www.zva.gov.lv</w:t>
        </w:r>
      </w:hyperlink>
    </w:p>
    <w:p w:rsidR="00733555" w:rsidRPr="004B3AF9" w:rsidRDefault="00733555" w:rsidP="00B659BA">
      <w:pPr>
        <w:spacing w:after="0" w:line="240" w:lineRule="auto"/>
        <w:rPr>
          <w:rFonts w:ascii="Times New Roman" w:hAnsi="Times New Roman"/>
          <w:u w:val="single"/>
          <w:lang w:val="lv-LV"/>
        </w:rPr>
      </w:pPr>
      <w:r w:rsidRPr="004B3AF9">
        <w:rPr>
          <w:rFonts w:ascii="Times New Roman" w:hAnsi="Times New Roman"/>
          <w:u w:val="single"/>
          <w:lang w:val="lv-LV"/>
        </w:rPr>
        <w:t>_______________________________________________________________</w:t>
      </w:r>
    </w:p>
    <w:p w:rsidR="00733555" w:rsidRPr="004B3AF9" w:rsidRDefault="00733555" w:rsidP="00B659BA">
      <w:pPr>
        <w:spacing w:after="0" w:line="240" w:lineRule="auto"/>
        <w:rPr>
          <w:rFonts w:ascii="Times New Roman" w:hAnsi="Times New Roman"/>
          <w:u w:val="single"/>
          <w:lang w:val="lv-LV"/>
        </w:rPr>
      </w:pPr>
    </w:p>
    <w:p w:rsidR="00733555" w:rsidRPr="004B3AF9" w:rsidRDefault="00733555" w:rsidP="00B659BA">
      <w:pPr>
        <w:spacing w:after="0" w:line="240" w:lineRule="auto"/>
        <w:rPr>
          <w:rFonts w:ascii="Times New Roman" w:hAnsi="Times New Roman"/>
          <w:u w:val="single"/>
          <w:lang w:val="lv-LV"/>
        </w:rPr>
      </w:pPr>
      <w:r w:rsidRPr="004B3AF9">
        <w:rPr>
          <w:rFonts w:ascii="Times New Roman" w:hAnsi="Times New Roman"/>
          <w:u w:val="single"/>
          <w:lang w:val="lv-LV"/>
        </w:rPr>
        <w:t>Šī informācija domāta tikai ārstiem vai veselības aprūpes speciālistiem</w:t>
      </w:r>
    </w:p>
    <w:p w:rsidR="00733555" w:rsidRPr="004B3AF9" w:rsidRDefault="00733555" w:rsidP="00B659BA">
      <w:pPr>
        <w:spacing w:after="0" w:line="240" w:lineRule="auto"/>
        <w:rPr>
          <w:rFonts w:ascii="Times New Roman" w:hAnsi="Times New Roman"/>
          <w:i/>
          <w:u w:val="single"/>
          <w:lang w:val="lv-LV"/>
        </w:rPr>
      </w:pPr>
    </w:p>
    <w:p w:rsidR="00733555" w:rsidRPr="004B3AF9" w:rsidRDefault="00733555" w:rsidP="00B659BA">
      <w:pPr>
        <w:spacing w:after="0" w:line="240" w:lineRule="auto"/>
        <w:rPr>
          <w:rFonts w:ascii="Times New Roman" w:hAnsi="Times New Roman"/>
          <w:u w:val="single"/>
          <w:lang w:val="lv-LV"/>
        </w:rPr>
      </w:pPr>
      <w:r w:rsidRPr="004B3AF9">
        <w:rPr>
          <w:rFonts w:ascii="Times New Roman" w:hAnsi="Times New Roman"/>
          <w:u w:val="single"/>
          <w:lang w:val="lv-LV"/>
        </w:rPr>
        <w:t>Pārdozēšanas ārstēšana</w:t>
      </w:r>
    </w:p>
    <w:p w:rsidR="00733555" w:rsidRPr="004B3AF9" w:rsidRDefault="00733555" w:rsidP="00B659BA">
      <w:pPr>
        <w:spacing w:after="0" w:line="240" w:lineRule="auto"/>
        <w:rPr>
          <w:rFonts w:ascii="Times New Roman" w:hAnsi="Times New Roman"/>
          <w:lang w:val="lv-LV"/>
        </w:rPr>
      </w:pPr>
      <w:r w:rsidRPr="004B3AF9">
        <w:rPr>
          <w:rFonts w:ascii="Times New Roman" w:hAnsi="Times New Roman"/>
          <w:lang w:val="lv-LV"/>
        </w:rPr>
        <w:t xml:space="preserve">Pēc </w:t>
      </w:r>
      <w:r w:rsidRPr="004B3AF9">
        <w:rPr>
          <w:rFonts w:ascii="Times New Roman" w:hAnsi="Times New Roman"/>
          <w:bCs/>
          <w:lang w:val="lv-LV"/>
        </w:rPr>
        <w:t>GUTTALAX</w:t>
      </w:r>
      <w:r w:rsidRPr="004B3AF9">
        <w:rPr>
          <w:rFonts w:ascii="Times New Roman" w:hAnsi="Times New Roman"/>
          <w:lang w:val="lv-LV"/>
        </w:rPr>
        <w:t xml:space="preserve"> iekšķīgas lietošanas tā uzsūkšanos var mazināt, ierosinot vemšanu vai veicot kuņģa skalošanu. Var būt nepieciešama šķidruma aizvietošana un elektrolītu līdzsvara traucējumu korekcija. Tas ir īpaši svarīgi veciem cilvēkiem un maziem bērniem.</w:t>
      </w:r>
    </w:p>
    <w:p w:rsidR="00733555" w:rsidRPr="004B3AF9" w:rsidRDefault="00733555" w:rsidP="00B659BA">
      <w:pPr>
        <w:spacing w:after="0" w:line="240" w:lineRule="auto"/>
        <w:rPr>
          <w:rFonts w:ascii="Times New Roman" w:hAnsi="Times New Roman"/>
          <w:lang w:val="lv-LV"/>
        </w:rPr>
      </w:pPr>
      <w:r w:rsidRPr="004B3AF9">
        <w:rPr>
          <w:rFonts w:ascii="Times New Roman" w:hAnsi="Times New Roman"/>
          <w:lang w:val="lv-LV"/>
        </w:rPr>
        <w:t>Šādos gadījumos var palīdzēt spazmolītiskie līdzekļi.</w:t>
      </w:r>
    </w:p>
    <w:p w:rsidR="00733555" w:rsidRPr="004B3AF9" w:rsidRDefault="00733555" w:rsidP="00B659BA">
      <w:pPr>
        <w:pStyle w:val="BodyText"/>
        <w:spacing w:line="240" w:lineRule="auto"/>
        <w:rPr>
          <w:sz w:val="22"/>
          <w:szCs w:val="22"/>
          <w:lang w:val="lv-LV"/>
        </w:rPr>
      </w:pPr>
    </w:p>
    <w:p w:rsidR="006E223A" w:rsidRPr="004B3AF9" w:rsidRDefault="006E223A" w:rsidP="00B659BA">
      <w:pPr>
        <w:pStyle w:val="BodyText"/>
        <w:spacing w:line="240" w:lineRule="auto"/>
        <w:rPr>
          <w:sz w:val="22"/>
          <w:szCs w:val="22"/>
          <w:lang w:val="lv-LV"/>
        </w:rPr>
      </w:pPr>
    </w:p>
    <w:p w:rsidR="006E223A" w:rsidRPr="004B3AF9" w:rsidRDefault="006E223A" w:rsidP="00B659BA">
      <w:pPr>
        <w:spacing w:after="0" w:line="240" w:lineRule="auto"/>
        <w:jc w:val="both"/>
        <w:rPr>
          <w:rFonts w:ascii="Times New Roman" w:hAnsi="Times New Roman"/>
          <w:b/>
          <w:bCs/>
          <w:lang w:val="x-none"/>
        </w:rPr>
      </w:pPr>
    </w:p>
    <w:p w:rsidR="00A036D8" w:rsidRPr="004B3AF9" w:rsidRDefault="00A036D8" w:rsidP="00B659BA">
      <w:pPr>
        <w:spacing w:after="0" w:line="240" w:lineRule="auto"/>
        <w:rPr>
          <w:rFonts w:ascii="Times New Roman" w:hAnsi="Times New Roman"/>
          <w:lang w:val="x-none"/>
        </w:rPr>
      </w:pPr>
    </w:p>
    <w:sectPr w:rsidR="00A036D8" w:rsidRPr="004B3AF9">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6E" w:rsidRDefault="002B656E" w:rsidP="006E223A">
      <w:pPr>
        <w:spacing w:after="0" w:line="240" w:lineRule="auto"/>
      </w:pPr>
      <w:r>
        <w:separator/>
      </w:r>
    </w:p>
  </w:endnote>
  <w:endnote w:type="continuationSeparator" w:id="0">
    <w:p w:rsidR="002B656E" w:rsidRDefault="002B656E" w:rsidP="006E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847" w:rsidRDefault="000B6847" w:rsidP="00960373">
    <w:pPr>
      <w:pStyle w:val="Footer"/>
      <w:jc w:val="center"/>
    </w:pPr>
    <w:r>
      <w:rPr>
        <w:rStyle w:val="PageNumber"/>
      </w:rPr>
      <w:fldChar w:fldCharType="begin"/>
    </w:r>
    <w:r>
      <w:rPr>
        <w:rStyle w:val="PageNumber"/>
      </w:rPr>
      <w:instrText xml:space="preserve"> PAGE </w:instrText>
    </w:r>
    <w:r>
      <w:rPr>
        <w:rStyle w:val="PageNumber"/>
      </w:rPr>
      <w:fldChar w:fldCharType="separate"/>
    </w:r>
    <w:r w:rsidR="000F6D8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6E" w:rsidRDefault="002B656E" w:rsidP="006E223A">
      <w:pPr>
        <w:spacing w:after="0" w:line="240" w:lineRule="auto"/>
      </w:pPr>
      <w:r>
        <w:separator/>
      </w:r>
    </w:p>
  </w:footnote>
  <w:footnote w:type="continuationSeparator" w:id="0">
    <w:p w:rsidR="002B656E" w:rsidRDefault="002B656E" w:rsidP="006E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4D" w:rsidRDefault="00015551" w:rsidP="00015551">
    <w:pPr>
      <w:pStyle w:val="Header"/>
      <w:jc w:val="right"/>
    </w:pPr>
    <w:r>
      <w:rPr>
        <w:lang w:val="en-US"/>
      </w:rPr>
      <w:t>Saskaņots ZVA 11.05.2016.</w:t>
    </w:r>
    <w:r w:rsidR="001B684D">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3179"/>
    <w:multiLevelType w:val="hybridMultilevel"/>
    <w:tmpl w:val="FF82E43C"/>
    <w:lvl w:ilvl="0" w:tplc="0FC0757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D6D4D"/>
    <w:multiLevelType w:val="hybridMultilevel"/>
    <w:tmpl w:val="3A8A24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FC34D38"/>
    <w:multiLevelType w:val="hybridMultilevel"/>
    <w:tmpl w:val="69C883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0147102"/>
    <w:multiLevelType w:val="hybridMultilevel"/>
    <w:tmpl w:val="40321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055021A"/>
    <w:multiLevelType w:val="hybridMultilevel"/>
    <w:tmpl w:val="7CECD0FE"/>
    <w:lvl w:ilvl="0" w:tplc="B510CE82">
      <w:start w:val="3"/>
      <w:numFmt w:val="bullet"/>
      <w:lvlText w:val="-"/>
      <w:lvlJc w:val="left"/>
      <w:pPr>
        <w:tabs>
          <w:tab w:val="num" w:pos="854"/>
        </w:tabs>
        <w:ind w:left="854" w:hanging="570"/>
      </w:pPr>
      <w:rPr>
        <w:rFonts w:ascii="Times New Roman" w:eastAsia="Times New Roman" w:hAnsi="Times New Roman" w:hint="default"/>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5EEE1E48"/>
    <w:multiLevelType w:val="hybridMultilevel"/>
    <w:tmpl w:val="E294D530"/>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0AE34A3"/>
    <w:multiLevelType w:val="hybridMultilevel"/>
    <w:tmpl w:val="5C70B478"/>
    <w:lvl w:ilvl="0" w:tplc="0EE239F2">
      <w:start w:val="6"/>
      <w:numFmt w:val="bullet"/>
      <w:lvlText w:val="-"/>
      <w:lvlJc w:val="left"/>
      <w:pPr>
        <w:tabs>
          <w:tab w:val="num" w:pos="930"/>
        </w:tabs>
        <w:ind w:left="930" w:hanging="57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A5CD9"/>
    <w:multiLevelType w:val="hybridMultilevel"/>
    <w:tmpl w:val="A98A9F70"/>
    <w:lvl w:ilvl="0" w:tplc="0419000F">
      <w:start w:val="1"/>
      <w:numFmt w:val="decimal"/>
      <w:lvlText w:val="%1."/>
      <w:lvlJc w:val="left"/>
      <w:pPr>
        <w:tabs>
          <w:tab w:val="num" w:pos="720"/>
        </w:tabs>
        <w:ind w:left="720" w:hanging="360"/>
      </w:pPr>
      <w:rPr>
        <w:rFonts w:cs="Times New Roman" w:hint="default"/>
      </w:rPr>
    </w:lvl>
    <w:lvl w:ilvl="1" w:tplc="0FC0757C">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
  </w:num>
  <w:num w:numId="4">
    <w:abstractNumId w:val="3"/>
  </w:num>
  <w:num w:numId="5">
    <w:abstractNumId w:val="2"/>
  </w:num>
  <w:num w:numId="6">
    <w:abstractNumId w:val="5"/>
  </w:num>
  <w:num w:numId="7">
    <w:abstractNumId w:val="4"/>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3A"/>
    <w:rsid w:val="00015551"/>
    <w:rsid w:val="00017339"/>
    <w:rsid w:val="00026246"/>
    <w:rsid w:val="000B6847"/>
    <w:rsid w:val="000C037D"/>
    <w:rsid w:val="000F453B"/>
    <w:rsid w:val="000F6D80"/>
    <w:rsid w:val="001B684D"/>
    <w:rsid w:val="001D4F1E"/>
    <w:rsid w:val="001F5F54"/>
    <w:rsid w:val="002B656E"/>
    <w:rsid w:val="0032672B"/>
    <w:rsid w:val="003875ED"/>
    <w:rsid w:val="0044224C"/>
    <w:rsid w:val="00473B5D"/>
    <w:rsid w:val="004B3AF9"/>
    <w:rsid w:val="004B4658"/>
    <w:rsid w:val="00604767"/>
    <w:rsid w:val="0065138A"/>
    <w:rsid w:val="00671464"/>
    <w:rsid w:val="006E223A"/>
    <w:rsid w:val="0072001C"/>
    <w:rsid w:val="00733555"/>
    <w:rsid w:val="0073490E"/>
    <w:rsid w:val="007C253E"/>
    <w:rsid w:val="007D23FB"/>
    <w:rsid w:val="007F7780"/>
    <w:rsid w:val="00800D19"/>
    <w:rsid w:val="00807D35"/>
    <w:rsid w:val="00890AD7"/>
    <w:rsid w:val="008A72AA"/>
    <w:rsid w:val="008F52E3"/>
    <w:rsid w:val="00912B05"/>
    <w:rsid w:val="00960373"/>
    <w:rsid w:val="00981680"/>
    <w:rsid w:val="009B15C9"/>
    <w:rsid w:val="009B1ABB"/>
    <w:rsid w:val="009B5EA3"/>
    <w:rsid w:val="009D5355"/>
    <w:rsid w:val="00A036D8"/>
    <w:rsid w:val="00A04756"/>
    <w:rsid w:val="00A6080A"/>
    <w:rsid w:val="00B63261"/>
    <w:rsid w:val="00B659BA"/>
    <w:rsid w:val="00B6741B"/>
    <w:rsid w:val="00B90A4D"/>
    <w:rsid w:val="00CE27FD"/>
    <w:rsid w:val="00D909AF"/>
    <w:rsid w:val="00D96A4E"/>
    <w:rsid w:val="00E5027F"/>
    <w:rsid w:val="00FE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efaultImageDpi w14:val="0"/>
  <w15:docId w15:val="{FEC31C9B-AAE5-46D2-B618-E4846F0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6E223A"/>
    <w:pPr>
      <w:keepNext/>
      <w:spacing w:after="0" w:line="360" w:lineRule="auto"/>
      <w:ind w:left="6480" w:hanging="6480"/>
      <w:outlineLvl w:val="2"/>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6E223A"/>
    <w:rPr>
      <w:rFonts w:ascii="Times New Roman" w:hAnsi="Times New Roman" w:cs="Times New Roman"/>
      <w:sz w:val="20"/>
      <w:szCs w:val="20"/>
      <w:lang w:val="x-none" w:eastAsia="x-none"/>
    </w:rPr>
  </w:style>
  <w:style w:type="paragraph" w:customStyle="1" w:styleId="Default">
    <w:name w:val="Default"/>
    <w:rsid w:val="006E223A"/>
    <w:pPr>
      <w:autoSpaceDE w:val="0"/>
      <w:autoSpaceDN w:val="0"/>
      <w:adjustRightInd w:val="0"/>
      <w:spacing w:after="0" w:line="240" w:lineRule="auto"/>
    </w:pPr>
    <w:rPr>
      <w:rFonts w:ascii="Times New Roman" w:hAnsi="Times New Roman"/>
      <w:color w:val="000000"/>
      <w:sz w:val="24"/>
      <w:szCs w:val="24"/>
      <w:lang w:val="ru-RU" w:eastAsia="ru-RU"/>
    </w:rPr>
  </w:style>
  <w:style w:type="paragraph" w:styleId="Header">
    <w:name w:val="header"/>
    <w:basedOn w:val="Normal"/>
    <w:link w:val="HeaderChar"/>
    <w:uiPriority w:val="99"/>
    <w:rsid w:val="006E223A"/>
    <w:pPr>
      <w:tabs>
        <w:tab w:val="center" w:pos="4677"/>
        <w:tab w:val="right" w:pos="9355"/>
      </w:tabs>
      <w:spacing w:after="0" w:line="240" w:lineRule="auto"/>
    </w:pPr>
    <w:rPr>
      <w:rFonts w:ascii="Times New Roman" w:hAnsi="Times New Roman"/>
      <w:sz w:val="24"/>
      <w:szCs w:val="24"/>
      <w:lang w:val="ru-RU" w:eastAsia="ru-RU"/>
    </w:rPr>
  </w:style>
  <w:style w:type="character" w:customStyle="1" w:styleId="HeaderChar">
    <w:name w:val="Header Char"/>
    <w:basedOn w:val="DefaultParagraphFont"/>
    <w:link w:val="Header"/>
    <w:uiPriority w:val="99"/>
    <w:locked/>
    <w:rsid w:val="006E223A"/>
    <w:rPr>
      <w:rFonts w:ascii="Times New Roman" w:hAnsi="Times New Roman" w:cs="Times New Roman"/>
      <w:sz w:val="24"/>
      <w:szCs w:val="24"/>
      <w:lang w:val="ru-RU" w:eastAsia="ru-RU"/>
    </w:rPr>
  </w:style>
  <w:style w:type="paragraph" w:styleId="Footer">
    <w:name w:val="footer"/>
    <w:basedOn w:val="Normal"/>
    <w:link w:val="FooterChar"/>
    <w:uiPriority w:val="99"/>
    <w:rsid w:val="006E223A"/>
    <w:pPr>
      <w:tabs>
        <w:tab w:val="center" w:pos="4677"/>
        <w:tab w:val="right" w:pos="9355"/>
      </w:tabs>
      <w:spacing w:after="0" w:line="240" w:lineRule="auto"/>
    </w:pPr>
    <w:rPr>
      <w:rFonts w:ascii="Times New Roman" w:hAnsi="Times New Roman"/>
      <w:sz w:val="24"/>
      <w:szCs w:val="24"/>
      <w:lang w:val="ru-RU" w:eastAsia="ru-RU"/>
    </w:rPr>
  </w:style>
  <w:style w:type="character" w:customStyle="1" w:styleId="FooterChar">
    <w:name w:val="Footer Char"/>
    <w:basedOn w:val="DefaultParagraphFont"/>
    <w:link w:val="Footer"/>
    <w:uiPriority w:val="99"/>
    <w:locked/>
    <w:rsid w:val="006E223A"/>
    <w:rPr>
      <w:rFonts w:ascii="Times New Roman" w:hAnsi="Times New Roman" w:cs="Times New Roman"/>
      <w:sz w:val="24"/>
      <w:szCs w:val="24"/>
      <w:lang w:val="ru-RU" w:eastAsia="ru-RU"/>
    </w:rPr>
  </w:style>
  <w:style w:type="character" w:styleId="PageNumber">
    <w:name w:val="page number"/>
    <w:basedOn w:val="DefaultParagraphFont"/>
    <w:uiPriority w:val="99"/>
    <w:rsid w:val="006E223A"/>
    <w:rPr>
      <w:rFonts w:cs="Times New Roman"/>
    </w:rPr>
  </w:style>
  <w:style w:type="paragraph" w:styleId="BodyText">
    <w:name w:val="Body Text"/>
    <w:basedOn w:val="Normal"/>
    <w:link w:val="BodyTextChar"/>
    <w:uiPriority w:val="99"/>
    <w:rsid w:val="006E223A"/>
    <w:pPr>
      <w:spacing w:after="0" w:line="360" w:lineRule="auto"/>
    </w:pPr>
    <w:rPr>
      <w:rFonts w:ascii="Times New Roman" w:hAnsi="Times New Roman"/>
      <w:sz w:val="28"/>
      <w:szCs w:val="20"/>
      <w:lang w:eastAsia="lv-LV"/>
    </w:rPr>
  </w:style>
  <w:style w:type="character" w:customStyle="1" w:styleId="BodyTextChar">
    <w:name w:val="Body Text Char"/>
    <w:basedOn w:val="DefaultParagraphFont"/>
    <w:link w:val="BodyText"/>
    <w:uiPriority w:val="99"/>
    <w:locked/>
    <w:rsid w:val="006E223A"/>
    <w:rPr>
      <w:rFonts w:ascii="Times New Roman" w:hAnsi="Times New Roman" w:cs="Times New Roman"/>
      <w:sz w:val="20"/>
      <w:szCs w:val="20"/>
      <w:lang w:val="x-none" w:eastAsia="lv-LV"/>
    </w:rPr>
  </w:style>
  <w:style w:type="character" w:styleId="Hyperlink">
    <w:name w:val="Hyperlink"/>
    <w:basedOn w:val="DefaultParagraphFont"/>
    <w:uiPriority w:val="99"/>
    <w:rsid w:val="006E223A"/>
    <w:rPr>
      <w:rFonts w:cs="Times New Roman"/>
      <w:color w:val="0000FF"/>
      <w:u w:val="single"/>
    </w:rPr>
  </w:style>
  <w:style w:type="paragraph" w:styleId="BalloonText">
    <w:name w:val="Balloon Text"/>
    <w:basedOn w:val="Normal"/>
    <w:link w:val="BalloonTextChar"/>
    <w:uiPriority w:val="99"/>
    <w:semiHidden/>
    <w:unhideWhenUsed/>
    <w:rsid w:val="0072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0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254814">
      <w:marLeft w:val="0"/>
      <w:marRight w:val="0"/>
      <w:marTop w:val="0"/>
      <w:marBottom w:val="0"/>
      <w:divBdr>
        <w:top w:val="none" w:sz="0" w:space="0" w:color="auto"/>
        <w:left w:val="none" w:sz="0" w:space="0" w:color="auto"/>
        <w:bottom w:val="none" w:sz="0" w:space="0" w:color="auto"/>
        <w:right w:val="none" w:sz="0" w:space="0" w:color="auto"/>
      </w:divBdr>
    </w:div>
    <w:div w:id="1029254815">
      <w:marLeft w:val="0"/>
      <w:marRight w:val="0"/>
      <w:marTop w:val="0"/>
      <w:marBottom w:val="0"/>
      <w:divBdr>
        <w:top w:val="none" w:sz="0" w:space="0" w:color="auto"/>
        <w:left w:val="none" w:sz="0" w:space="0" w:color="auto"/>
        <w:bottom w:val="none" w:sz="0" w:space="0" w:color="auto"/>
        <w:right w:val="none" w:sz="0" w:space="0" w:color="auto"/>
      </w:divBdr>
    </w:div>
    <w:div w:id="1029254816">
      <w:marLeft w:val="0"/>
      <w:marRight w:val="0"/>
      <w:marTop w:val="0"/>
      <w:marBottom w:val="0"/>
      <w:divBdr>
        <w:top w:val="none" w:sz="0" w:space="0" w:color="auto"/>
        <w:left w:val="none" w:sz="0" w:space="0" w:color="auto"/>
        <w:bottom w:val="none" w:sz="0" w:space="0" w:color="auto"/>
        <w:right w:val="none" w:sz="0" w:space="0" w:color="auto"/>
      </w:divBdr>
    </w:div>
    <w:div w:id="1029254817">
      <w:marLeft w:val="0"/>
      <w:marRight w:val="0"/>
      <w:marTop w:val="0"/>
      <w:marBottom w:val="0"/>
      <w:divBdr>
        <w:top w:val="none" w:sz="0" w:space="0" w:color="auto"/>
        <w:left w:val="none" w:sz="0" w:space="0" w:color="auto"/>
        <w:bottom w:val="none" w:sz="0" w:space="0" w:color="auto"/>
        <w:right w:val="none" w:sz="0" w:space="0" w:color="auto"/>
      </w:divBdr>
    </w:div>
    <w:div w:id="1029254818">
      <w:marLeft w:val="0"/>
      <w:marRight w:val="0"/>
      <w:marTop w:val="0"/>
      <w:marBottom w:val="0"/>
      <w:divBdr>
        <w:top w:val="none" w:sz="0" w:space="0" w:color="auto"/>
        <w:left w:val="none" w:sz="0" w:space="0" w:color="auto"/>
        <w:bottom w:val="none" w:sz="0" w:space="0" w:color="auto"/>
        <w:right w:val="none" w:sz="0" w:space="0" w:color="auto"/>
      </w:divBdr>
    </w:div>
    <w:div w:id="1029254819">
      <w:marLeft w:val="0"/>
      <w:marRight w:val="0"/>
      <w:marTop w:val="0"/>
      <w:marBottom w:val="0"/>
      <w:divBdr>
        <w:top w:val="none" w:sz="0" w:space="0" w:color="auto"/>
        <w:left w:val="none" w:sz="0" w:space="0" w:color="auto"/>
        <w:bottom w:val="none" w:sz="0" w:space="0" w:color="auto"/>
        <w:right w:val="none" w:sz="0" w:space="0" w:color="auto"/>
      </w:divBdr>
    </w:div>
    <w:div w:id="1029254820">
      <w:marLeft w:val="0"/>
      <w:marRight w:val="0"/>
      <w:marTop w:val="0"/>
      <w:marBottom w:val="0"/>
      <w:divBdr>
        <w:top w:val="none" w:sz="0" w:space="0" w:color="auto"/>
        <w:left w:val="none" w:sz="0" w:space="0" w:color="auto"/>
        <w:bottom w:val="none" w:sz="0" w:space="0" w:color="auto"/>
        <w:right w:val="none" w:sz="0" w:space="0" w:color="auto"/>
      </w:divBdr>
    </w:div>
    <w:div w:id="1029254821">
      <w:marLeft w:val="0"/>
      <w:marRight w:val="0"/>
      <w:marTop w:val="0"/>
      <w:marBottom w:val="0"/>
      <w:divBdr>
        <w:top w:val="none" w:sz="0" w:space="0" w:color="auto"/>
        <w:left w:val="none" w:sz="0" w:space="0" w:color="auto"/>
        <w:bottom w:val="none" w:sz="0" w:space="0" w:color="auto"/>
        <w:right w:val="none" w:sz="0" w:space="0" w:color="auto"/>
      </w:divBdr>
    </w:div>
    <w:div w:id="1029254822">
      <w:marLeft w:val="0"/>
      <w:marRight w:val="0"/>
      <w:marTop w:val="0"/>
      <w:marBottom w:val="0"/>
      <w:divBdr>
        <w:top w:val="none" w:sz="0" w:space="0" w:color="auto"/>
        <w:left w:val="none" w:sz="0" w:space="0" w:color="auto"/>
        <w:bottom w:val="none" w:sz="0" w:space="0" w:color="auto"/>
        <w:right w:val="none" w:sz="0" w:space="0" w:color="auto"/>
      </w:divBdr>
    </w:div>
    <w:div w:id="1029254823">
      <w:marLeft w:val="0"/>
      <w:marRight w:val="0"/>
      <w:marTop w:val="0"/>
      <w:marBottom w:val="0"/>
      <w:divBdr>
        <w:top w:val="none" w:sz="0" w:space="0" w:color="auto"/>
        <w:left w:val="none" w:sz="0" w:space="0" w:color="auto"/>
        <w:bottom w:val="none" w:sz="0" w:space="0" w:color="auto"/>
        <w:right w:val="none" w:sz="0" w:space="0" w:color="auto"/>
      </w:divBdr>
    </w:div>
    <w:div w:id="1029254824">
      <w:marLeft w:val="0"/>
      <w:marRight w:val="0"/>
      <w:marTop w:val="0"/>
      <w:marBottom w:val="0"/>
      <w:divBdr>
        <w:top w:val="none" w:sz="0" w:space="0" w:color="auto"/>
        <w:left w:val="none" w:sz="0" w:space="0" w:color="auto"/>
        <w:bottom w:val="none" w:sz="0" w:space="0" w:color="auto"/>
        <w:right w:val="none" w:sz="0" w:space="0" w:color="auto"/>
      </w:divBdr>
    </w:div>
    <w:div w:id="1029254825">
      <w:marLeft w:val="0"/>
      <w:marRight w:val="0"/>
      <w:marTop w:val="0"/>
      <w:marBottom w:val="0"/>
      <w:divBdr>
        <w:top w:val="none" w:sz="0" w:space="0" w:color="auto"/>
        <w:left w:val="none" w:sz="0" w:space="0" w:color="auto"/>
        <w:bottom w:val="none" w:sz="0" w:space="0" w:color="auto"/>
        <w:right w:val="none" w:sz="0" w:space="0" w:color="auto"/>
      </w:divBdr>
    </w:div>
    <w:div w:id="1029254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Maira Logina</cp:lastModifiedBy>
  <cp:revision>2</cp:revision>
  <cp:lastPrinted>2016-05-11T09:22:00Z</cp:lastPrinted>
  <dcterms:created xsi:type="dcterms:W3CDTF">2016-05-23T06:03:00Z</dcterms:created>
  <dcterms:modified xsi:type="dcterms:W3CDTF">2016-05-23T06:03:00Z</dcterms:modified>
</cp:coreProperties>
</file>